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8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8"/>
      </w:tblGrid>
      <w:tr w:rsidR="006C4F75" w:rsidRPr="00AC655C" w14:paraId="035BB694" w14:textId="77777777" w:rsidTr="00B25D5F">
        <w:tc>
          <w:tcPr>
            <w:tcW w:w="10118" w:type="dxa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4F5F7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89F3D2" w14:textId="5145A779" w:rsidR="006C4F75" w:rsidRPr="00AC655C" w:rsidRDefault="006C4F75" w:rsidP="00650F5C">
            <w:pPr>
              <w:spacing w:after="0" w:line="240" w:lineRule="auto"/>
              <w:jc w:val="center"/>
              <w:textAlignment w:val="baseline"/>
              <w:outlineLvl w:val="3"/>
              <w:rPr>
                <w:rFonts w:ascii="Segoe UI" w:eastAsia="Times New Roman" w:hAnsi="Segoe UI" w:cs="Segoe UI"/>
                <w:b/>
                <w:bCs/>
                <w:spacing w:val="5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28"/>
                <w:szCs w:val="28"/>
                <w:lang w:eastAsia="en-IN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BUSINESS CASE</w:t>
            </w:r>
          </w:p>
        </w:tc>
      </w:tr>
      <w:tr w:rsidR="006C4F75" w:rsidRPr="006C4F75" w14:paraId="270100D7" w14:textId="77777777" w:rsidTr="006C4F75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blBorders>
          <w:shd w:val="clear" w:color="auto" w:fill="F5FAFE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AFE"/>
            <w:vAlign w:val="center"/>
          </w:tcPr>
          <w:p w14:paraId="3E53917B" w14:textId="77777777" w:rsidR="006C4F75" w:rsidRPr="006C4F75" w:rsidRDefault="006C4F75" w:rsidP="006C4F75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000000"/>
                <w:sz w:val="21"/>
                <w:szCs w:val="21"/>
                <w:lang w:eastAsia="en-IN"/>
              </w:rPr>
            </w:pPr>
          </w:p>
        </w:tc>
      </w:tr>
      <w:tr w:rsidR="006C4F75" w:rsidRPr="006C4F75" w14:paraId="70CA38D4" w14:textId="77777777" w:rsidTr="006C4F75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blBorders>
          <w:shd w:val="clear" w:color="auto" w:fill="F5FAFE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AFE"/>
            <w:vAlign w:val="center"/>
          </w:tcPr>
          <w:p w14:paraId="01067BDB" w14:textId="12EB745F" w:rsidR="006C4F75" w:rsidRPr="006C4F75" w:rsidRDefault="00B25D5F" w:rsidP="00B25D5F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Project Name:</w:t>
            </w:r>
            <w:r w:rsidRPr="0066735B">
              <w:rPr>
                <w:rFonts w:ascii="Segoe UI" w:eastAsia="Times New Roman" w:hAnsi="Segoe UI" w:cs="Segoe UI"/>
                <w:b/>
                <w:bCs/>
                <w:sz w:val="24"/>
                <w:szCs w:val="24"/>
                <w:u w:val="single"/>
                <w:lang w:eastAsia="en-IN"/>
              </w:rPr>
              <w:t xml:space="preserve"> </w:t>
            </w:r>
            <w:proofErr w:type="spellStart"/>
            <w:r w:rsidRPr="0066735B">
              <w:rPr>
                <w:rFonts w:ascii="Segoe UI" w:eastAsia="Times New Roman" w:hAnsi="Segoe UI" w:cs="Segoe UI"/>
                <w:b/>
                <w:bCs/>
                <w:sz w:val="24"/>
                <w:szCs w:val="24"/>
                <w:u w:val="single"/>
                <w:lang w:eastAsia="en-IN"/>
              </w:rPr>
              <w:t>FIN</w:t>
            </w:r>
            <w:r w:rsidRPr="0066735B">
              <w:rPr>
                <w:rFonts w:ascii="Segoe UI" w:eastAsia="Times New Roman" w:hAnsi="Segoe UI" w:cs="Segoe UI"/>
                <w:b/>
                <w:bCs/>
                <w:sz w:val="24"/>
                <w:szCs w:val="24"/>
                <w:highlight w:val="yellow"/>
                <w:u w:val="single"/>
                <w:lang w:eastAsia="en-IN"/>
              </w:rPr>
              <w:t>AL</w:t>
            </w:r>
            <w:r w:rsidRPr="0066735B">
              <w:rPr>
                <w:rFonts w:ascii="Segoe UI" w:eastAsia="Times New Roman" w:hAnsi="Segoe UI" w:cs="Segoe UI"/>
                <w:b/>
                <w:bCs/>
                <w:sz w:val="24"/>
                <w:szCs w:val="24"/>
                <w:highlight w:val="yellow"/>
                <w:lang w:eastAsia="en-IN"/>
              </w:rPr>
              <w:t>yze</w:t>
            </w:r>
            <w:proofErr w:type="spellEnd"/>
          </w:p>
        </w:tc>
      </w:tr>
      <w:tr w:rsidR="006C4F75" w:rsidRPr="006C4F75" w14:paraId="5F567EF7" w14:textId="77777777" w:rsidTr="00B036BA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blBorders>
          <w:shd w:val="clear" w:color="auto" w:fill="F5FAFE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3"/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AFE"/>
            <w:vAlign w:val="center"/>
            <w:hideMark/>
          </w:tcPr>
          <w:p w14:paraId="64C11BDB" w14:textId="2FFB0B8D" w:rsidR="00C27AF1" w:rsidRPr="006C4F75" w:rsidRDefault="006C4F75" w:rsidP="00C27AF1">
            <w:pPr>
              <w:rPr>
                <w:rFonts w:ascii="Noto Sans" w:eastAsia="Times New Roman" w:hAnsi="Noto Sans" w:cs="Noto Sans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6C4F75">
              <w:rPr>
                <w:rFonts w:ascii="Noto Sans" w:eastAsia="Times New Roman" w:hAnsi="Noto Sans" w:cs="Noto Sans"/>
                <w:b/>
                <w:bCs/>
                <w:color w:val="000000"/>
                <w:sz w:val="21"/>
                <w:szCs w:val="21"/>
                <w:lang w:eastAsia="en-IN"/>
              </w:rPr>
              <w:t>Executive summary</w:t>
            </w:r>
            <w:r w:rsidRPr="006C4F75">
              <w:rPr>
                <w:rFonts w:ascii="Noto Sans" w:eastAsia="Times New Roman" w:hAnsi="Noto Sans" w:cs="Noto Sans"/>
                <w:b/>
                <w:bCs/>
                <w:color w:val="000000"/>
                <w:sz w:val="21"/>
                <w:szCs w:val="21"/>
                <w:lang w:eastAsia="en-IN"/>
              </w:rPr>
              <w:br/>
            </w:r>
            <w:r w:rsidR="00B25D5F" w:rsidRPr="00CA26B5">
              <w:t xml:space="preserve">Since </w:t>
            </w:r>
            <w:r w:rsidR="00B25D5F">
              <w:t>2024</w:t>
            </w:r>
            <w:r w:rsidR="00B25D5F" w:rsidRPr="00CA26B5">
              <w:t xml:space="preserve">, the executive board has been working to create ways to </w:t>
            </w:r>
            <w:r w:rsidR="00B25D5F">
              <w:t xml:space="preserve">convince business partners regarding the financial benefits due to association with </w:t>
            </w:r>
            <w:r w:rsidR="00B25D5F">
              <w:t>company.</w:t>
            </w:r>
            <w:r w:rsidR="00B25D5F" w:rsidRPr="00CA26B5">
              <w:t xml:space="preserve"> It is for this reason that the executive board has decided to implement a </w:t>
            </w:r>
            <w:r w:rsidR="00B25D5F">
              <w:t>system which will provide a view on margin and return on investment</w:t>
            </w:r>
            <w:r w:rsidR="00B25D5F" w:rsidRPr="00CA26B5">
              <w:t>.</w:t>
            </w:r>
            <w:r w:rsidR="00B25D5F">
              <w:t xml:space="preserve"> As we all know NUMBERS SPEAK</w:t>
            </w:r>
            <w:proofErr w:type="gramStart"/>
            <w:r w:rsidR="00B25D5F">
              <w:t>…..</w:t>
            </w:r>
            <w:proofErr w:type="gramEnd"/>
          </w:p>
        </w:tc>
      </w:tr>
      <w:tr w:rsidR="00B036BA" w:rsidRPr="006C4F75" w14:paraId="3CD563EA" w14:textId="77777777" w:rsidTr="006C4F75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blBorders>
          <w:shd w:val="clear" w:color="auto" w:fill="F5FAF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AFE"/>
            <w:vAlign w:val="center"/>
          </w:tcPr>
          <w:p w14:paraId="1DB17B56" w14:textId="0445602A" w:rsidR="00B036BA" w:rsidRPr="006C4F75" w:rsidRDefault="00B036BA" w:rsidP="006C4F75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6C4F75">
              <w:rPr>
                <w:rFonts w:ascii="Noto Sans" w:eastAsia="Times New Roman" w:hAnsi="Noto Sans" w:cs="Noto Sans"/>
                <w:b/>
                <w:bCs/>
                <w:color w:val="000000"/>
                <w:sz w:val="21"/>
                <w:szCs w:val="21"/>
                <w:lang w:eastAsia="en-IN"/>
              </w:rPr>
              <w:t>Finance section</w:t>
            </w:r>
            <w:r w:rsidRPr="006C4F75">
              <w:rPr>
                <w:rFonts w:ascii="Noto Sans" w:eastAsia="Times New Roman" w:hAnsi="Noto Sans" w:cs="Noto Sans"/>
                <w:b/>
                <w:bCs/>
                <w:color w:val="000000"/>
                <w:sz w:val="21"/>
                <w:szCs w:val="21"/>
                <w:lang w:eastAsia="en-IN"/>
              </w:rPr>
              <w:br/>
            </w:r>
            <w:r>
              <w:t xml:space="preserve">As the source data is already available creation of </w:t>
            </w:r>
            <w:proofErr w:type="spellStart"/>
            <w:r>
              <w:t>Finalyze</w:t>
            </w:r>
            <w:proofErr w:type="spellEnd"/>
            <w:r>
              <w:t xml:space="preserve"> and then creating a means of data loading from existing systems will be the cost. </w:t>
            </w:r>
            <w:r w:rsidR="00007895">
              <w:t>However,</w:t>
            </w:r>
            <w:r>
              <w:t xml:space="preserve"> the benefits due to business growth is immense.</w:t>
            </w:r>
          </w:p>
        </w:tc>
      </w:tr>
      <w:tr w:rsidR="00B036BA" w:rsidRPr="006C4F75" w14:paraId="6C9999E8" w14:textId="77777777" w:rsidTr="006C4F75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blBorders>
          <w:shd w:val="clear" w:color="auto" w:fill="F5FAF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AFE"/>
            <w:vAlign w:val="center"/>
          </w:tcPr>
          <w:p w14:paraId="42E1D448" w14:textId="0E116494" w:rsidR="00B036BA" w:rsidRPr="006C4F75" w:rsidRDefault="00B036BA" w:rsidP="00007895">
            <w:pPr>
              <w:rPr>
                <w:rFonts w:ascii="Noto Sans" w:eastAsia="Times New Roman" w:hAnsi="Noto Sans" w:cs="Noto Sans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B036BA">
              <w:rPr>
                <w:rFonts w:ascii="Noto Sans" w:eastAsia="Times New Roman" w:hAnsi="Noto Sans" w:cs="Noto Sans"/>
                <w:b/>
                <w:bCs/>
                <w:color w:val="000000"/>
                <w:sz w:val="21"/>
                <w:szCs w:val="21"/>
                <w:lang w:eastAsia="en-IN"/>
              </w:rPr>
              <w:t>Sensitivity analysis</w:t>
            </w:r>
            <w:r w:rsidR="00007895">
              <w:rPr>
                <w:rFonts w:ascii="Noto Sans" w:eastAsia="Times New Roman" w:hAnsi="Noto Sans" w:cs="Noto Sans"/>
                <w:b/>
                <w:bCs/>
                <w:color w:val="000000"/>
                <w:sz w:val="21"/>
                <w:szCs w:val="21"/>
                <w:lang w:eastAsia="en-IN"/>
              </w:rPr>
              <w:br/>
            </w:r>
            <w:r w:rsidR="00007895">
              <w:t>There is no risk involved due to this business decision</w:t>
            </w:r>
          </w:p>
        </w:tc>
      </w:tr>
      <w:tr w:rsidR="00007895" w:rsidRPr="006C4F75" w14:paraId="5C61FF82" w14:textId="77777777" w:rsidTr="006C4F75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blBorders>
          <w:shd w:val="clear" w:color="auto" w:fill="F5FAF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AFE"/>
            <w:vAlign w:val="center"/>
          </w:tcPr>
          <w:p w14:paraId="049198D9" w14:textId="5CB2654F" w:rsidR="00007895" w:rsidRPr="00007895" w:rsidRDefault="00007895" w:rsidP="00007895">
            <w:pPr>
              <w:spacing w:after="0" w:line="240" w:lineRule="auto"/>
              <w:textAlignment w:val="baseline"/>
            </w:pPr>
            <w:r w:rsidRPr="00007895">
              <w:rPr>
                <w:rFonts w:ascii="Noto Sans" w:eastAsia="Times New Roman" w:hAnsi="Noto Sans" w:cs="Noto Sans"/>
                <w:b/>
                <w:bCs/>
                <w:color w:val="000000"/>
                <w:sz w:val="21"/>
                <w:szCs w:val="21"/>
                <w:lang w:eastAsia="en-IN"/>
              </w:rPr>
              <w:t>Project definition</w:t>
            </w:r>
            <w:r>
              <w:br/>
              <w:t xml:space="preserve">Develop a </w:t>
            </w:r>
            <w:r w:rsidRPr="00007895">
              <w:t>web application</w:t>
            </w:r>
            <w:r>
              <w:t xml:space="preserve"> which</w:t>
            </w:r>
            <w:r w:rsidRPr="00007895">
              <w:t xml:space="preserve"> calculates the Gross margin, Net margin and ROI for products.</w:t>
            </w:r>
          </w:p>
          <w:p w14:paraId="77E9B8C3" w14:textId="290A927D" w:rsidR="00007895" w:rsidRPr="006C4F75" w:rsidRDefault="00007895" w:rsidP="00007895">
            <w:pPr>
              <w:rPr>
                <w:rFonts w:ascii="Noto Sans" w:eastAsia="Times New Roman" w:hAnsi="Noto Sans" w:cs="Noto Sans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007895">
              <w:t xml:space="preserve">This app provides insight into </w:t>
            </w:r>
            <w:r>
              <w:t xml:space="preserve">Business </w:t>
            </w:r>
            <w:r w:rsidRPr="00007895">
              <w:t>Financ</w:t>
            </w:r>
            <w:r>
              <w:t>ial</w:t>
            </w:r>
            <w:r w:rsidRPr="00007895">
              <w:t xml:space="preserve"> health and </w:t>
            </w:r>
            <w:r w:rsidRPr="00007895">
              <w:t>analyse</w:t>
            </w:r>
            <w:r w:rsidRPr="00007895">
              <w:t xml:space="preserve"> its </w:t>
            </w:r>
            <w:r w:rsidRPr="00007895">
              <w:t>investment</w:t>
            </w:r>
            <w:r w:rsidRPr="00007895">
              <w:t xml:space="preserve"> decision</w:t>
            </w:r>
            <w:r>
              <w:t>s</w:t>
            </w:r>
          </w:p>
        </w:tc>
      </w:tr>
      <w:tr w:rsidR="00007895" w:rsidRPr="006C4F75" w14:paraId="45654115" w14:textId="77777777" w:rsidTr="006C4F75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blBorders>
          <w:shd w:val="clear" w:color="auto" w:fill="F5FAF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AFE"/>
            <w:vAlign w:val="center"/>
          </w:tcPr>
          <w:p w14:paraId="057EDFA9" w14:textId="77777777" w:rsidR="00007895" w:rsidRDefault="00DA33E2" w:rsidP="006C4F75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007895">
              <w:rPr>
                <w:rFonts w:ascii="Noto Sans" w:eastAsia="Times New Roman" w:hAnsi="Noto Sans" w:cs="Noto Sans"/>
                <w:b/>
                <w:bCs/>
                <w:color w:val="000000"/>
                <w:sz w:val="21"/>
                <w:szCs w:val="21"/>
                <w:lang w:eastAsia="en-IN"/>
              </w:rPr>
              <w:t xml:space="preserve">Project </w:t>
            </w:r>
            <w:r>
              <w:rPr>
                <w:rFonts w:ascii="Noto Sans" w:eastAsia="Times New Roman" w:hAnsi="Noto Sans" w:cs="Noto Sans"/>
                <w:b/>
                <w:bCs/>
                <w:color w:val="000000"/>
                <w:sz w:val="21"/>
                <w:szCs w:val="21"/>
                <w:lang w:eastAsia="en-IN"/>
              </w:rPr>
              <w:t>Approach</w:t>
            </w:r>
          </w:p>
          <w:p w14:paraId="224B7F74" w14:textId="2D0E033B" w:rsidR="00DA33E2" w:rsidRPr="006C4F75" w:rsidRDefault="00DA33E2" w:rsidP="006C4F75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000000"/>
                <w:sz w:val="21"/>
                <w:szCs w:val="21"/>
                <w:lang w:eastAsia="en-IN"/>
              </w:rPr>
            </w:pPr>
            <w:r>
              <w:t>Development team will work closely with the business team using Agile methodology.</w:t>
            </w:r>
          </w:p>
        </w:tc>
      </w:tr>
      <w:tr w:rsidR="00007895" w:rsidRPr="006C4F75" w14:paraId="3BFE4342" w14:textId="77777777" w:rsidTr="006C4F75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blBorders>
          <w:shd w:val="clear" w:color="auto" w:fill="F5FAF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AFE"/>
            <w:vAlign w:val="center"/>
          </w:tcPr>
          <w:p w14:paraId="674422F7" w14:textId="6322622C" w:rsidR="00007895" w:rsidRPr="006C4F75" w:rsidRDefault="00C27AF1" w:rsidP="006C4F75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C27AF1">
              <w:rPr>
                <w:rFonts w:ascii="Noto Sans" w:eastAsia="Times New Roman" w:hAnsi="Noto Sans" w:cs="Noto Sans"/>
                <w:b/>
                <w:bCs/>
                <w:color w:val="000000"/>
                <w:sz w:val="21"/>
                <w:szCs w:val="21"/>
                <w:lang w:eastAsia="en-IN"/>
              </w:rPr>
              <w:t>Project governance</w:t>
            </w:r>
            <w:r>
              <w:rPr>
                <w:rFonts w:ascii="Noto Sans" w:eastAsia="Times New Roman" w:hAnsi="Noto Sans" w:cs="Noto Sans"/>
                <w:b/>
                <w:bCs/>
                <w:color w:val="000000"/>
                <w:sz w:val="21"/>
                <w:szCs w:val="21"/>
                <w:lang w:eastAsia="en-IN"/>
              </w:rPr>
              <w:br/>
            </w:r>
            <w:r>
              <w:t>Weekly Progress will be discussed with business champions and appropriate feedback will be considered in the next sprints.</w:t>
            </w:r>
          </w:p>
        </w:tc>
      </w:tr>
    </w:tbl>
    <w:p w14:paraId="66D414FF" w14:textId="77777777" w:rsidR="006E090A" w:rsidRDefault="006E090A"/>
    <w:sectPr w:rsidR="006E0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C1AC5"/>
    <w:multiLevelType w:val="multilevel"/>
    <w:tmpl w:val="7210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4A"/>
    <w:rsid w:val="00007895"/>
    <w:rsid w:val="006C4F75"/>
    <w:rsid w:val="006D414A"/>
    <w:rsid w:val="006E090A"/>
    <w:rsid w:val="00B036BA"/>
    <w:rsid w:val="00B25D5F"/>
    <w:rsid w:val="00C27AF1"/>
    <w:rsid w:val="00D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292E"/>
  <w15:chartTrackingRefBased/>
  <w15:docId w15:val="{4C397CA8-89B0-4B0A-9767-01006A79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414A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6D414A"/>
  </w:style>
  <w:style w:type="character" w:customStyle="1" w:styleId="t-14">
    <w:name w:val="t-14"/>
    <w:basedOn w:val="DefaultParagraphFont"/>
    <w:rsid w:val="006D414A"/>
  </w:style>
  <w:style w:type="character" w:customStyle="1" w:styleId="pvs-entitycaption-wrapper">
    <w:name w:val="pvs-entity__caption-wrapper"/>
    <w:basedOn w:val="DefaultParagraphFont"/>
    <w:rsid w:val="006D414A"/>
  </w:style>
  <w:style w:type="paragraph" w:customStyle="1" w:styleId="mlxkwflevkjhlfokanhemembdxeljxfstagbtk">
    <w:name w:val="mlxkwflevkjhlfokanhemembdxeljxfstagbtk"/>
    <w:basedOn w:val="Normal"/>
    <w:rsid w:val="006D4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vs-listitem--with-top-padding">
    <w:name w:val="pvs-list__item--with-top-padding"/>
    <w:basedOn w:val="Normal"/>
    <w:rsid w:val="006D4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0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76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1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17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2025-02-01T06:54:00Z</dcterms:created>
  <dcterms:modified xsi:type="dcterms:W3CDTF">2025-02-01T08:35:00Z</dcterms:modified>
</cp:coreProperties>
</file>