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RESEARCH PROTOCOL AND DATA MANAGEMENT PLAN</w:t>
      </w:r>
    </w:p>
    <w:p>
      <w:pPr>
        <w:spacing w:after="120" w:line="320"/>
        <w:jc w:val="center"/>
      </w:pPr>
      <w:r>
        <w:t xml:space="preserve">Leveraging Artificial Intelligence for Financial Competence Development: A Design-Based Research Study of AI-Assisted Training Design, Gamification, and Organizational Outcomes</w:t>
      </w:r>
    </w:p>
    <w:p>
      <w:pPr>
        <w:spacing w:after="60" w:line="300"/>
        <w:jc w:val="center"/>
      </w:pPr>
      <w:r>
        <w:rPr>
          <w:sz w:val="20"/>
          <w:szCs w:val="20"/>
        </w:rPr>
        <w:t xml:space="preserve">Candidate: Aiman S. Sadeq · Supervisor: Professor Emanuele Borgonovo · Doctorate in Business Administration, SDA Bocconi School of Management</w:t>
      </w:r>
    </w:p>
    <w:p>
      <w:pPr>
        <w:spacing w:after="60" w:line="300"/>
        <w:jc w:val="center"/>
      </w:pPr>
      <w:r>
        <w:rPr>
          <w:sz w:val="20"/>
          <w:szCs w:val="20"/>
        </w:rPr>
        <w:t xml:space="preserve">Version 2.0 · September 2026 · Status: revised for the October cohorts following approval of application EA001257 on 9 September 2026; the change of facilitator was filed as amendment EA001257.01 on 10 September 2026 and is awaiting determination</w:t>
      </w:r>
    </w:p>
    <w:p>
      <w:pPr>
        <w:spacing w:after="260" w:line="300"/>
        <w:jc w:val="center"/>
      </w:pPr>
      <w:r>
        <w:rPr>
          <w:i/>
          <w:iCs/>
          <w:sz w:val="20"/>
          <w:szCs w:val="20"/>
        </w:rPr>
        <w:t xml:space="preserve">Supersedes version 1.9. Changes from 1.9 are summarized in Section 10, together with the earlier change logs.</w:t>
      </w:r>
    </w:p>
    <w:p>
      <w:pPr>
        <w:pStyle w:val="Heading1"/>
        <w:spacing w:after="120" w:before="260"/>
      </w:pPr>
      <w:r>
        <w:t xml:space="preserve">1. Purpose and research questions</w:t>
      </w:r>
    </w:p>
    <w:p>
      <w:pPr>
        <w:spacing w:after="120" w:line="320"/>
      </w:pPr>
      <w:r>
        <w:t xml:space="preserve">The study investigates how generative AI can be leveraged to develop financial competence in organizations, and what design principles govern effective AI-assisted finance training. Five research questions address: (RQ1) the role of AI in producing training artifacts and the effect of AI-human collaboration on their quality; (RQ2) how AI-designed gamification and simulation mechanics influence professionals’ engagement with financial decision-making; (RQ3) the organizational and individual factors that enable or constrain adoption; (RQ4) the extent to which AI-assisted training contributes to perceived financial competence; and (RQ5) the governance principles that should guide responsible use of AI in training design for regulated environments.</w:t>
      </w:r>
    </w:p>
    <w:p>
      <w:pPr>
        <w:pStyle w:val="Heading1"/>
        <w:spacing w:after="120" w:before="260"/>
      </w:pPr>
      <w:r>
        <w:t xml:space="preserve">2. Design summary</w:t>
      </w:r>
    </w:p>
    <w:p>
      <w:pPr>
        <w:spacing w:after="120" w:line="320"/>
      </w:pPr>
      <w:r>
        <w:t xml:space="preserve">Two-cycle Design-Based Research (DBR); qualitative core (Reflexive Thematic Analysis; Framework Method) with bounded descriptive statistics.</w:t>
      </w:r>
    </w:p>
    <w:p>
      <w:pPr>
        <w:spacing w:after="120" w:line="320"/>
      </w:pPr>
      <w:r>
        <w:t xml:space="preserve">Cycle 1 comprises up to three cohorts of the same finance-for-non-finance program, at up to two client organizations, and they are not identical in length or in who delivers them. The four-day delivery at a large Saudi technology company on 6 to 9 September 2026, prepared under version 1.7 as Cohort 1A, ran instead as an ordinary commercial course with the instrument layer switched off, because the committee’s decision had not been issued when it began. Approval was issued on that delivery’s final day, but consent was never sought and the instruments never ran, so it contributes no data and is recorded as a practice delivery.</w:t>
      </w:r>
    </w:p>
    <w:p>
      <w:pPr>
        <w:spacing w:after="120" w:line="320"/>
      </w:pPr>
      <w:r>
        <w:t xml:space="preserve">• Cohorts 1A and 1B: two groups of approximately 20 to 25 adult professionals at a large public-sector procurement organization, three days each, 20 to 22 and 25 to 27 October 2026, facilitated by the candidate (Section 6). Research participation at this organization is subject to the client authorization described in Section 7, requested and not yet confirmed.</w:t>
      </w:r>
    </w:p>
    <w:p>
      <w:pPr>
        <w:spacing w:after="120" w:line="320"/>
      </w:pPr>
      <w:r>
        <w:t xml:space="preserve">• Cohort 1C: a five-day in-house program delivered on behalf of a client at a further organization, 11 to 15 October 2026, under discussion and not yet contracted. It is treated as a possible addition, not a dependency.</w:t>
      </w:r>
    </w:p>
    <w:p>
      <w:pPr>
        <w:spacing w:after="120" w:line="320"/>
      </w:pPr>
      <w:r>
        <w:t xml:space="preserve">• Colleague-delivered cohorts: colleagues of the candidate deliver several further runs of this program during 2026 and 2027. At least one such cohort is planned within Cycle 1, wherever a booking first clears the client authorization; if none does before the Cycle 1 redesign, the first colleague-delivered cohort falls in Cycle 2. In those cohorts the candidate neither facilitates nor observes.</w:t>
      </w:r>
    </w:p>
    <w:p>
      <w:pPr>
        <w:spacing w:after="120" w:line="320"/>
      </w:pPr>
      <w:r>
        <w:t xml:space="preserve">Each cohort is served by its own instance of the instrument platform, so that cohorts running close together or overlapping remain fully separated. Each instance stamps its own cohort label, and every count, export and deletion is scoped to the cohort that performed it, so no cohort can read or delete another’s records.</w:t>
      </w:r>
    </w:p>
    <w:p>
      <w:pPr>
        <w:spacing w:after="120" w:line="320"/>
      </w:pPr>
      <w:r>
        <w:t xml:space="preserve">The multi-cohort structure gives Cycle 1 a limited internal iteration: the two October cohorts follow each other by three days, long enough to correct an instrument or a run-sheet step and to record the correction, not long enough for a documented redesign of the materials. The variation in program length and in facilitator is treated as informative rather than as noise, and Section 6 sets out what the second of those variations does to the dual-role limitation.</w:t>
      </w:r>
    </w:p>
    <w:p>
      <w:pPr>
        <w:spacing w:after="120" w:line="320"/>
      </w:pPr>
      <w:r>
        <w:t xml:space="preserve">Cycle 2 (2026 to 2027) deploys systematically refined materials across multiple organizations with interviews, focus groups, and observation. The institutional ethics procedure was completed ahead of Cycle 1: the university’s research-ethics course, the institutional Consent Form prepared through the Bocconi ethics portal, and the committee’s self-assessment checklist, on which the project flags no critical element. The project was nonetheless submitted to the Bocconi Research Ethics Committee as application EA001257, created on 26 August 2026 and submitted on 1 September 2026; the committee reviewed it on 9 September 2026, deemed it compliant with the University’s Research Ethics Policy, and the application is recorded as approved. This version departs from the approved design in one respect, the identity of the facilitator, and that change was filed with the committee as amendment EA001257.01 on 10 September 2026. No collection takes place under it before the amendment is determined. Significant later changes return to the committee in the same way.</w:t>
      </w:r>
    </w:p>
    <w:p>
      <w:pPr>
        <w:pStyle w:val="Heading1"/>
        <w:spacing w:after="120" w:before="260"/>
      </w:pPr>
      <w:r>
        <w:t xml:space="preserve">3. Participants and recruitment</w:t>
      </w:r>
    </w:p>
    <w:p>
      <w:pPr>
        <w:spacing w:after="120" w:line="320"/>
      </w:pPr>
      <w:r>
        <w:t xml:space="preserve">Population: adult professionals (non-finance backgrounds) attending a finance-for-non-finance corporate training program arranged by their employer.</w:t>
      </w:r>
    </w:p>
    <w:p>
      <w:pPr>
        <w:spacing w:after="120" w:line="320"/>
      </w:pPr>
      <w:r>
        <w:t xml:space="preserve">The employer arranges attendance at the TRAINING; participation in the RESEARCH (completing instruments) is individually voluntary. Declining carries no employment consequence, and the consent materials state this explicitly.</w:t>
      </w:r>
    </w:p>
    <w:p>
      <w:pPr>
        <w:spacing w:after="120" w:line="320"/>
      </w:pPr>
      <w:r>
        <w:t xml:space="preserve">A second and much smaller participant group joins in Cycle 1: practitioners, interviewed rather than surveyed. Two interviews are conducted after the Cycle 1 deliveries conclude, one with the colleague who delivered the September program and who delivers further runs of it during Cycle 1, and one with the training contact at a client organization. They exist because the learner instruments cannot reach two of the three design-principle families the study refines: learners do not observe how design work was divided between the AI and the human experts, and they do not hold the organizational adoption decision.</w:t>
      </w:r>
    </w:p>
    <w:p>
      <w:pPr>
        <w:spacing w:after="120" w:line="320"/>
      </w:pPr>
      <w:r>
        <w:t xml:space="preserve">These two groups are governed differently and the difference is fundamental rather than procedural. Learners are anonymous at source and cannot be re-identified by anyone, including the candidate. Interview participants are known to the candidate by name, because an interview cannot be otherwise. Everything in Sections 5 to 7 that refers to anonymity applies to the learner instruments; the interview provisions are stated separately and are weaker by necessity, resting on consent, pseudonymization and access control rather than on the absence of identifiers.</w:t>
      </w:r>
    </w:p>
    <w:p>
      <w:pPr>
        <w:spacing w:after="120" w:line="320"/>
      </w:pPr>
      <w:r>
        <w:t xml:space="preserve">Recruitment for the interviews is direct and personal, which is itself a risk addressed in Section 8: one participant is a professional colleague and the other is a client. Neither is recruited through an employer, and neither participates as a condition of any commercial or working arrangement.</w:t>
      </w:r>
    </w:p>
    <w:p>
      <w:pPr>
        <w:spacing w:after="120" w:line="320"/>
      </w:pPr>
      <w:r>
        <w:t xml:space="preserve">No vulnerable groups; no minors.</w:t>
      </w:r>
    </w:p>
    <w:p>
      <w:pPr>
        <w:pStyle w:val="Heading1"/>
        <w:spacing w:after="120" w:before="260"/>
      </w:pPr>
      <w:r>
        <w:t xml:space="preserve">4. Instruments and mode of collection</w:t>
      </w:r>
    </w:p>
    <w:p>
      <w:pPr>
        <w:spacing w:after="120" w:line="320"/>
      </w:pPr>
      <w:r>
        <w:t xml:space="preserve">Four instruments, bilingual in English and Arabic:</w:t>
      </w:r>
    </w:p>
    <w:p>
      <w:pPr>
        <w:spacing w:after="120" w:line="320"/>
      </w:pPr>
      <w:r>
        <w:t xml:space="preserve">• Consent and Briefing Sheet: research context, supervisor, voluntariness, anonymity, right to withdraw.</w:t>
      </w:r>
    </w:p>
    <w:p>
      <w:pPr>
        <w:spacing w:after="120" w:line="320"/>
      </w:pPr>
      <w:r>
        <w:t xml:space="preserve">• Pre-Training Questionnaire: demographics, prior finance knowledge, expectations (Day 1, before content).</w:t>
      </w:r>
    </w:p>
    <w:p>
      <w:pPr>
        <w:spacing w:after="120" w:line="320"/>
      </w:pPr>
      <w:r>
        <w:t xml:space="preserve">• Daily Reflection Cards, one per training day: three open questions per day; the final day adds one cross-program question.</w:t>
      </w:r>
    </w:p>
    <w:p>
      <w:pPr>
        <w:spacing w:after="120" w:line="320"/>
      </w:pPr>
      <w:r>
        <w:t xml:space="preserve">• Post-Training Evaluation: Kirkpatrick Levels 1 and 2, design-quality perceptions, gamification experience (Day 4).</w:t>
      </w:r>
    </w:p>
    <w:p>
      <w:pPr>
        <w:spacing w:after="120" w:line="320"/>
      </w:pPr>
      <w:r>
        <w:t xml:space="preserve">Mode of collection. Instruments are delivered as web forms and completed by participants on their own or on provided devices. Access is by a short URL and QR code displayed in the room at the relevant point in the program. There is no login, no account, and no invitation by email or name, so no participant list or contact record is created at any stage.</w:t>
      </w:r>
    </w:p>
    <w:p>
      <w:pPr>
        <w:spacing w:after="120" w:line="320"/>
      </w:pPr>
      <w:r>
        <w:t xml:space="preserve">The instrument layer is deliberately separate from the FinPlay training platform. Participants log in to FinPlay to take part in the training; they do not log in to complete research instruments. The two systems are not connected, and no FinPlay identity, session, or telemetry is associated with any instrument response.</w:t>
      </w:r>
    </w:p>
    <w:p>
      <w:pPr>
        <w:spacing w:after="120" w:line="320"/>
      </w:pPr>
      <w:r>
        <w:t xml:space="preserve">Program length. The instruments are written for a four-day program and that text is canonical. Where a cohort runs a different number of days, the instruments are served with the day count substituted and nothing else altered: the program length in the briefing, the day the final evaluation falls on, the range in the daily reflection title, the number of options in the day selector, and the day that carries the cross-program question. Part 5 of Research Instruments v2.1 specifies the substitution in both languages. No item wording, response option or ordering varies with length. Each stored reflection records how many days its program ran, and the database will not accept the cross-program question on any day but the last of them.</w:t>
      </w:r>
    </w:p>
    <w:p>
      <w:pPr>
        <w:spacing w:after="120" w:line="320"/>
      </w:pPr>
      <w:r>
        <w:t xml:space="preserve">Paper versions of every instrument are printed and carried to each session as an operational fallback (Section 8), matched to that cohort’s program length. If the fallback is used, completed sheets are placed unfolded and unmarked into a collection box which is sealed in the room before it leaves, as described in the facilitator run sheet, and the substitution is recorded in the deviations log. This supersedes the sealed-envelope-per-participant procedure of version 1.0: an envelope for each person reintroduces exactly the per-person object the design exists to avoid.</w:t>
      </w:r>
    </w:p>
    <w:p>
      <w:pPr>
        <w:spacing w:after="120" w:line="320"/>
      </w:pPr>
      <w:r>
        <w:t xml:space="preserve">All instruments are anonymous by design: no names, employee numbers, or other identifiers are collected anywhere.</w:t>
      </w:r>
    </w:p>
    <w:p>
      <w:pPr>
        <w:spacing w:after="120" w:line="320"/>
      </w:pPr>
      <w:r>
        <w:t xml:space="preserve">A fifth instrument sits outside this set and is not delivered on a screen: a semi-structured interview guide for practitioners, used twice in Cycle 1 and more widely in Cycle 2. It is reproduced in the proposal as an appendix. It is not bilingual by design, because it is used with individuals whose working language is known in advance and agreed with them beforehand.</w:t>
      </w:r>
    </w:p>
    <w:p>
      <w:pPr>
        <w:pStyle w:val="Heading1"/>
        <w:spacing w:after="120" w:before="260"/>
      </w:pPr>
      <w:r>
        <w:t xml:space="preserve">5. Consent procedure</w:t>
      </w:r>
    </w:p>
    <w:p>
      <w:pPr>
        <w:spacing w:after="120" w:line="320"/>
      </w:pPr>
      <w:r>
        <w:t xml:space="preserve">On Day 1, before any teaching content, the facilitator reads a standardized briefing identifying the doctoral research, the university and supervisor, the voluntary character of participation, and the anonymity guarantee. Participants receive a printed information page to keep. This page is given to participants and nothing is collected from it.</w:t>
      </w:r>
    </w:p>
    <w:p>
      <w:pPr>
        <w:spacing w:after="120" w:line="320"/>
      </w:pPr>
      <w:r>
        <w:t xml:space="preserve">Participants then open the consent screen. It presents two options with equal prominence: to take part, or not to take part. Both options are submitted in the same way, and both return the same closing screen, so that every person in the room performs the same visible sequence of actions on their device.</w:t>
      </w:r>
    </w:p>
    <w:p>
      <w:pPr>
        <w:spacing w:after="120" w:line="320"/>
      </w:pPr>
      <w:r>
        <w:t xml:space="preserve">Those who decline are not prompted again: the confirmation screen is terminal and identical for both choices, and no instrument links to another. Each instrument is opened only from the link displayed in the room at the relevant moment, which a declining participant simply does not open. This is stated in these terms deliberately. Suppressing later instruments on a declining participant’s own device would require recognizing that device on a subsequent visit, by cookie, stored value, URL token or fingerprint, every one of which Section 6 forbids. The protocol therefore claims what the design delivers: the software prompts nobody.</w:t>
      </w:r>
    </w:p>
    <w:p>
      <w:pPr>
        <w:spacing w:after="120" w:line="320"/>
      </w:pPr>
      <w:r>
        <w:t xml:space="preserve">Consent covers all instruments across all training days. Each instrument completed after the Day 1 briefing opens with a one-line reminder that participation remains voluntary; version 2.0 of the instruments omitted this from the pre-training questionnaire and version 2.1 corrects it. Withdrawal is exercised simply by not submitting a subsequent instrument.</w:t>
      </w:r>
    </w:p>
    <w:p>
      <w:pPr>
        <w:spacing w:after="120" w:line="320"/>
      </w:pPr>
      <w:r>
        <w:t xml:space="preserve">One honest difference from version 1.0. Under the paper procedure a declining participant returned a blank form that was physically indistinguishable from a completed one, so no record of declining existed at all. Under the online procedure a decline is recorded as an anonymous count. It cannot be attributed to any individual, because no identifiers, IP addresses, or session data are held. The practical effect is that declining remains invisible to the facilitator and to the employer, while the study gains an accurate participation rate. This is judged an acceptable and arguably favorable exchange, but it is a change and is recorded as one.</w:t>
      </w:r>
    </w:p>
    <w:p>
      <w:pPr>
        <w:pStyle w:val="Heading1"/>
        <w:spacing w:after="120" w:before="260"/>
      </w:pPr>
      <w:r>
        <w:t xml:space="preserve">6. Anonymity and the facilitator-researcher dual role</w:t>
      </w:r>
    </w:p>
    <w:p>
      <w:pPr>
        <w:spacing w:after="120" w:line="320"/>
      </w:pPr>
      <w:r>
        <w:t xml:space="preserve">This section governs the learner instruments. The interview strand is not anonymous and is governed by Section 6A.</w:t>
      </w:r>
    </w:p>
    <w:p>
      <w:pPr>
        <w:spacing w:after="120" w:line="320"/>
      </w:pPr>
      <w:r>
        <w:t xml:space="preserve">The candidate delivers the October cohorts (1A and 1B) and conducts the research, a standard configuration in Design-Based Research that this protocol manages explicitly rather than assumes away. This is a change from the approved design and is not presented as anything else. Versions 1.5 to 1.7 passed all Cycle 1 delivery to a professional colleague, and the committee approved an application in which the dual role was absent from data generation rather than mitigated; returning delivery to the candidate restores it, and amendment EA001257.01, recorded in Section 9, puts that before the committee before any cohort contributes data. The controls below then carry the mitigation, because they are properties of the instruments rather than of who is standing at the front.</w:t>
      </w:r>
    </w:p>
    <w:p>
      <w:pPr>
        <w:spacing w:after="120" w:line="320"/>
      </w:pPr>
      <w:r>
        <w:t xml:space="preserve">In colleague-delivered cohorts the configuration does not arise. A colleague delivers those programs from the same scripted run sheet and delivery checklist; the candidate neither facilitates nor observes them and is not present in the room. The controls below still apply, but the dual role itself is absent rather than mitigated. Those cohorts therefore provide a comparison the approved design could not contain, because under it no cohort had the designer in the room: the same materials and the same instruments, with and without him. The first such cohort falls wherever a colleague-delivered booking clears the client authorization, within Cycle 1 if one is available before the redesign and otherwise in Cycle 2.</w:t>
      </w:r>
    </w:p>
    <w:p>
      <w:pPr>
        <w:spacing w:after="120" w:line="320"/>
      </w:pPr>
      <w:r>
        <w:t xml:space="preserve">Anonymity is established at source by the following technical and procedural controls:</w:t>
      </w:r>
    </w:p>
    <w:p>
      <w:pPr>
        <w:spacing w:after="120" w:line="320"/>
      </w:pPr>
      <w:r>
        <w:t xml:space="preserve">• No login, no user account, no session token, and no cookie is used by the instrument layer.</w:t>
      </w:r>
    </w:p>
    <w:p>
      <w:pPr>
        <w:spacing w:after="120" w:line="320"/>
      </w:pPr>
      <w:r>
        <w:t xml:space="preserve">• Each submission is written independently. No linkage exists between instruments, between days, or between any instrument and the FinPlay platform.</w:t>
      </w:r>
    </w:p>
    <w:p>
      <w:pPr>
        <w:spacing w:after="120" w:line="320"/>
      </w:pPr>
      <w:r>
        <w:t xml:space="preserve">• No IP address and no user-agent string is retained.</w:t>
      </w:r>
    </w:p>
    <w:p>
      <w:pPr>
        <w:spacing w:after="120" w:line="320"/>
      </w:pPr>
      <w:r>
        <w:t xml:space="preserve">• Submission times are recorded at day-level granularity only. Finer timestamps are not stored, because in a cohort of about 25 completing at the same moment a precise submission time could become deductively identifying when combined with demographic bands.</w:t>
      </w:r>
    </w:p>
    <w:p>
      <w:pPr>
        <w:spacing w:after="120" w:line="320"/>
      </w:pPr>
      <w:r>
        <w:t xml:space="preserve">• Demographic items are categorical and coarse (role band, experience band) for the same reason.</w:t>
      </w:r>
    </w:p>
    <w:p>
      <w:pPr>
        <w:spacing w:after="120" w:line="320"/>
      </w:pPr>
      <w:r>
        <w:t xml:space="preserve">• Instruments are self-administered. The facilitator does not assist with completion, does not observe individual screens, and does not circulate during completion.</w:t>
      </w:r>
    </w:p>
    <w:p>
      <w:pPr>
        <w:spacing w:after="120" w:line="320"/>
      </w:pPr>
      <w:r>
        <w:t xml:space="preserve">The consequence is that the facilitator cannot know who wrote what, and no response can be linked to an individual. The data are anonymous at source, not anonymized afterwards.</w:t>
      </w:r>
    </w:p>
    <w:p>
      <w:pPr>
        <w:spacing w:after="120" w:line="320"/>
      </w:pPr>
      <w:r>
        <w:t xml:space="preserve">The same design necessarily forecloses two things within Cycle 1: responses cannot be joined across the training days for any individual, and no longitudinal follow-up of individuals is possible. Both were accepted deliberately in favor of the anonymity guarantee.</w:t>
      </w:r>
    </w:p>
    <w:p>
      <w:pPr>
        <w:spacing w:after="120" w:line="320"/>
      </w:pPr>
      <w:r>
        <w:t xml:space="preserve">The candidate maintains a reflexivity journal and a deviations log as part of the audit trail, reviewed in supervision.</w:t>
      </w:r>
    </w:p>
    <w:p>
      <w:pPr>
        <w:spacing w:after="120" w:line="320"/>
      </w:pPr>
      <w:r>
        <w:t xml:space="preserve">6A. The interview strand: confidentiality rather than anonymity</w:t>
      </w:r>
    </w:p>
    <w:p>
      <w:pPr>
        <w:spacing w:after="120" w:line="320"/>
      </w:pPr>
      <w:r>
        <w:t xml:space="preserve">An interview cannot be anonymous to the interviewer, and this protocol does not pretend otherwise. What the two interview participants are offered is confidentiality, which is a different and weaker promise, and it is described to them in those terms.</w:t>
      </w:r>
    </w:p>
    <w:p>
      <w:pPr>
        <w:spacing w:after="120" w:line="320"/>
      </w:pPr>
      <w:r>
        <w:t xml:space="preserve">• Consent is written, individual, and taken separately from any commercial or employment relationship. The consent wording states that declining, or withdrawing later, changes neither relationship in any way.</w:t>
      </w:r>
    </w:p>
    <w:p>
      <w:pPr>
        <w:spacing w:after="120" w:line="320"/>
      </w:pPr>
      <w:r>
        <w:t xml:space="preserve">• Withdrawal is available up to the point at which analysis is written up, and unlike the learner instruments it can be acted upon, because the interview record is identifiable. A withdrawing participant’s material is deleted and excluded.</w:t>
      </w:r>
    </w:p>
    <w:p>
      <w:pPr>
        <w:spacing w:after="120" w:line="320"/>
      </w:pPr>
      <w:r>
        <w:t xml:space="preserve">• Interviews are not audio-recorded. The interviewer takes written notes during the interview and writes them up immediately afterwards; wording is presented as a verbatim quotation only where it was written down verbatim at the time, and the write-up is returned to the participant for confirmation before use. This supersedes version 1.5, under which recording was the default and notes-only the participant’s option. The change narrows what the protocol already permitted and removes the only identifiable audio in the study.</w:t>
      </w:r>
    </w:p>
    <w:p>
      <w:pPr>
        <w:spacing w:after="120" w:line="320"/>
      </w:pPr>
      <w:r>
        <w:t xml:space="preserve">• Interview write-ups are pseudonymized at the point of write-up. Names, employer names, client names and identifying incidents are replaced with role labels. The key linking pseudonym to person is held separately from the write-ups and destroyed once analysis is complete.</w:t>
      </w:r>
    </w:p>
    <w:p>
      <w:pPr>
        <w:spacing w:after="120" w:line="320"/>
      </w:pPr>
      <w:r>
        <w:t xml:space="preserve">• Quotations are checked with the speaker before they appear in any output. In a study with one trainer and one training contact, a role label is not concealment: the people concerned will be identifiable to anyone who knows the engagement, and they are told so plainly before consenting rather than reassured otherwise.</w:t>
      </w:r>
    </w:p>
    <w:p>
      <w:pPr>
        <w:spacing w:after="120" w:line="320"/>
      </w:pPr>
      <w:r>
        <w:t xml:space="preserve">• Organizations are not named in the proposal or the thesis without their written permission.</w:t>
      </w:r>
    </w:p>
    <w:p>
      <w:pPr>
        <w:spacing w:after="120" w:line="320"/>
      </w:pPr>
      <w:r>
        <w:t xml:space="preserve">The candidate’s dual role is sharper here than anywhere else in the study. One participant is a colleague who may wish to be supportive; the other is a client who may wish to be positive about a service they buy. Section 8 records what is done about that, and the analysis reports these accounts as testimony from interested parties rather than as neutral evidence.</w:t>
      </w:r>
    </w:p>
    <w:p>
      <w:pPr>
        <w:pStyle w:val="Heading1"/>
        <w:spacing w:after="120" w:before="260"/>
      </w:pPr>
      <w:r>
        <w:t xml:space="preserve">7. Data management plan</w:t>
      </w:r>
    </w:p>
    <w:p>
      <w:pPr>
        <w:spacing w:after="120" w:line="320"/>
      </w:pPr>
      <w:r>
        <w:t xml:space="preserve">Collection. Responses are submitted through the web forms described in Section 4 and written to a hosted database. Submission counts are logged per instrument per day.</w:t>
      </w:r>
    </w:p>
    <w:p>
      <w:pPr>
        <w:spacing w:after="120" w:line="320"/>
      </w:pPr>
      <w:r>
        <w:t xml:space="preserve">Hosting and jurisdiction. The application and database are hosted in the United States (Render and Supabase). This is stated plainly rather than smoothed over. No personal data enters the dataset, so the research data itself involves no cross-border transfer of personal data within the meaning of the KSA Personal Data Protection Law.</w:t>
      </w:r>
    </w:p>
    <w:p>
      <w:pPr>
        <w:spacing w:after="120" w:line="320"/>
      </w:pPr>
      <w:r>
        <w:t xml:space="preserve">Connection metadata, principally IP addresses, is processed transiently at the network layer by the hosting infrastructure, as it is for any online instrument including the widely used hosted survey platforms. It is not logged by the application, not stored in the database, and not associated with any response. Participants never connect to the database at all: only the application server holds a database connection, so no participant address can appear in a database log. Any edge logging performed by the hosting provider is outside the study’s control, is not accessible to the researcher, and forms no part of the dataset. Version 1.1 asserted that such metadata was "not logged, not retained" without qualification, which was a claim about a third party that the study cannot evidence; this wording claims only what the design supports.</w:t>
      </w:r>
    </w:p>
    <w:p>
      <w:pPr>
        <w:spacing w:after="120" w:line="320"/>
      </w:pPr>
      <w:r>
        <w:t xml:space="preserve">Client authorization. Before each cohort, the client organization’s coordinator confirms that completion of externally hosted research forms on the client network or on personal devices is permitted under the organization’s own data policy. Confirmation is recorded in the audit trail.</w:t>
      </w:r>
    </w:p>
    <w:p>
      <w:pPr>
        <w:spacing w:after="120" w:line="320"/>
      </w:pPr>
      <w:r>
        <w:t xml:space="preserve">Export and storage. Responses are exported within 48 hours of the final training day (targets 24 and 29 October 2026 for Cohorts 1A and 1B). Exports are stored encrypted with access restricted to the candidate. Once an export is verified complete, the source records are deleted from the hosted database, so that no research data remains on third-party infrastructure beyond the period required to collect it.</w:t>
      </w:r>
    </w:p>
    <w:p>
      <w:pPr>
        <w:spacing w:after="120" w:line="320"/>
      </w:pPr>
      <w:r>
        <w:t xml:space="preserve">Analysis records (codes, matrices, memos) reference response IDs only. Each response carries a random identifier generated when the record is written, deliberately random rather than sequential so that it reveals nothing about the order in which people submitted, and carrying no meaning outside the dataset. Version 1.1 described these as generated at export; the property being protected is unchanged, and this states the mechanism as built.</w:t>
      </w:r>
    </w:p>
    <w:p>
      <w:pPr>
        <w:spacing w:after="120" w:line="320"/>
      </w:pPr>
      <w:r>
        <w:t xml:space="preserve">KSA Personal Data Protection Law alignment: data minimization (anonymous by design), purpose limitation (research and program improvement only, stated in the briefing), security of processing, and the position on cross-border transfer set out above.</w:t>
      </w:r>
    </w:p>
    <w:p>
      <w:pPr>
        <w:spacing w:after="120" w:line="320"/>
      </w:pPr>
      <w:r>
        <w:t xml:space="preserve">No participant responses are entered into generative AI systems. AI tools are used in the research only as documented in the study’s AI-use disclosure, and never with raw participant data.</w:t>
      </w:r>
    </w:p>
    <w:p>
      <w:pPr>
        <w:spacing w:after="120" w:line="320"/>
      </w:pPr>
      <w:r>
        <w:t xml:space="preserve">This commitment now has a sharper edge, and it is recorded here so it cannot be forgotten in the moment it matters. Interview notes and write-ups are participant responses. No interview audio exists, because interviews are not recorded (Section 6A), so no recording can be uploaded to an automated transcription service; the prohibition on such services is retained because it governs any future cycle in which recording were to be reintroduced, which would require a protocol amendment and the supervisor’s agreement. Write-ups are produced by the candidate by hand. The same prohibition applies to pasting interview text into any AI assistant for coding, summarizing or thematic help, at any stage of the analysis. Where such assistance would be useful, either the protocol is amended and the supervisor consulted first, or the work is done without it.</w:t>
      </w:r>
    </w:p>
    <w:p>
      <w:pPr>
        <w:spacing w:after="120" w:line="320"/>
      </w:pPr>
      <w:r>
        <w:t xml:space="preserve">Interview data handling. Handwritten notes are kept secured by the candidate until the write-up is completed and verified against them, and destroyed thereafter. Pseudonymized write-ups are stored encrypted with access restricted to the candidate, retained for the duration of the research and destroyed after thesis acceptance. The pseudonym key is stored separately from the write-ups and destroyed once analysis is complete. Interview material is held apart from the learner dataset and never merged with it: the learner data carry no identifiers and must not acquire any by association.</w:t>
      </w:r>
    </w:p>
    <w:p>
      <w:pPr>
        <w:spacing w:after="120" w:line="320"/>
      </w:pPr>
      <w:r>
        <w:t xml:space="preserve">Retention: for the duration of the doctoral research; anonymized digital data retained per SDA Bocconi requirements, then deleted. Any paper originals arising from use of the fallback are locked and destroyed after thesis acceptance.</w:t>
      </w:r>
    </w:p>
    <w:p>
      <w:pPr>
        <w:pStyle w:val="Heading1"/>
        <w:spacing w:after="120" w:before="260"/>
      </w:pPr>
      <w:r>
        <w:t xml:space="preserve">8. Risks and mitigations</w:t>
      </w:r>
    </w:p>
    <w:p>
      <w:pPr>
        <w:spacing w:after="120" w:line="320"/>
      </w:pPr>
      <w:r>
        <w:t xml:space="preserve">• Perceived workplace pressure to participate. Explicit voluntariness script; equal prominence of both consent options; no employer access to individual responses, and none exist.</w:t>
      </w:r>
    </w:p>
    <w:p>
      <w:pPr>
        <w:spacing w:after="120" w:line="320"/>
      </w:pPr>
      <w:r>
        <w:t xml:space="preserve">• Facilitator influence on responses. The candidate delivers the October cohorts, so the designer of the materials is in the room while they are evaluated, and this risk is live rather than absent as it was under versions 1.5 to 1.7. Self-administration; the facilitator does not assist with completion, does not observe individual screens and does not circulate during completion; no identifiers; no linkage; and the reflexivity journal records the candidate’s own reading of each session.</w:t>
      </w:r>
    </w:p>
    <w:p>
      <w:pPr>
        <w:spacing w:after="120" w:line="320"/>
      </w:pPr>
      <w:r>
        <w:t xml:space="preserve">• Perception that responses are tracked because collection is digital. The briefing states explicitly that the instruments are separate from FinPlay, require no login, and record no IP address or identity. The absence of a login screen is itself visible evidence of this to participants.</w:t>
      </w:r>
    </w:p>
    <w:p>
      <w:pPr>
        <w:spacing w:after="120" w:line="320"/>
      </w:pPr>
      <w:r>
        <w:t xml:space="preserve">• Deductive identification in a small cohort. Coarse demographic categories; day-level timestamps only; reporting at theme level, never at individual-response level with identifying detail.</w:t>
      </w:r>
    </w:p>
    <w:p>
      <w:pPr>
        <w:spacing w:after="120" w:line="320"/>
      </w:pPr>
      <w:r>
        <w:t xml:space="preserve">• Network failure, device shortage, or client network restrictions. Printed copies of every instrument, matched to that cohort’s program length, are carried to each session. The facilitator reverts to the paper procedure described in Section 4 for the affected instrument, and records the substitution in the deviations log.</w:t>
      </w:r>
    </w:p>
    <w:p>
      <w:pPr>
        <w:spacing w:after="120" w:line="320"/>
      </w:pPr>
      <w:r>
        <w:t xml:space="preserve">• The wrong pack, or the wrong service, in a week when two cohorts overlap. Each printed pack states its own program length on the daily reflection sheet, and each instance of the platform states its cohort and its program length on the facilitator’s page. Both are checked before anything is displayed to a room.</w:t>
      </w:r>
    </w:p>
    <w:p>
      <w:pPr>
        <w:spacing w:after="120" w:line="320"/>
      </w:pPr>
      <w:r>
        <w:t xml:space="preserve">• Unequal device access among participants. Devices are made available so that participation does not depend on owning a suitable personal device.</w:t>
      </w:r>
    </w:p>
    <w:p>
      <w:pPr>
        <w:spacing w:after="120" w:line="320"/>
      </w:pPr>
      <w:r>
        <w:t xml:space="preserve">• Bilingual rendering. Arabic right-to-left presentation is tested across the device types and browsers expected in the room before the session, and the paper fallback covers any failure.</w:t>
      </w:r>
    </w:p>
    <w:p>
      <w:pPr>
        <w:spacing w:after="120" w:line="320"/>
      </w:pPr>
      <w:r>
        <w:t xml:space="preserve">• Interviewing a colleague and a client. Both interview participants have a working relationship with the candidate, and one of them buys the service under discussion. The risks run in both directions: they may soften criticism to be supportive or commercially agreeable, and the candidate may press less hard than an outsider would. Mitigations: consent taken separately from the commercial and working relationship, with declining stated to carry no consequence for either; the interview guide used as written rather than steered; accounts reported as testimony from interested parties and read against the learner instruments and artifact audits rather than at face value; and Cycle 2 recruiting interview participants from organizations where no prior relationship exists. This limitation is stated in the thesis proposal as well as here, because it cannot be designed away inside Cycle 1.</w:t>
      </w:r>
    </w:p>
    <w:p>
      <w:pPr>
        <w:spacing w:after="120" w:line="320"/>
      </w:pPr>
      <w:r>
        <w:t xml:space="preserve">• Identifiability of interview participants. With one trainer and one training contact, a role label does not conceal identity from anyone familiar with the engagement. Participants are told this before consenting, quotations are checked with them before use, and no organization is named without written permission.</w:t>
      </w:r>
    </w:p>
    <w:p>
      <w:pPr>
        <w:spacing w:after="120" w:line="320"/>
      </w:pPr>
      <w:r>
        <w:t xml:space="preserve">• Data loss. Export within 48 hours; encrypted redundant storage; verification of export completeness before any source deletion. Interview write-ups are covered by the same encrypted redundant storage until their scheduled deletion, and handwritten notes are written up promptly so that no interview record exists only on paper.</w:t>
      </w:r>
    </w:p>
    <w:p>
      <w:pPr>
        <w:pStyle w:val="Heading1"/>
        <w:spacing w:after="120" w:before="260"/>
      </w:pPr>
      <w:r>
        <w:t xml:space="preserve">9. Oversight and timeline</w:t>
      </w:r>
    </w:p>
    <w:p>
      <w:pPr>
        <w:spacing w:after="120" w:line="320"/>
      </w:pPr>
      <w:r>
        <w:t xml:space="preserve">Supervisor: Professor Emanuele Borgonovo reviews this protocol and the consent materials before the first October session (target: before 11 October 2026 if Cohort 1C is confirmed, otherwise before 20 October 2026). The review and any resulting revisions form part of the audit trail. The changes from the version the committee approved, the September delivery leaving the study altogether and delivery of the October cohorts returning to the candidate, are material and are drawn to his attention rather than left to be discovered in this document.</w:t>
      </w:r>
    </w:p>
    <w:p>
      <w:pPr>
        <w:spacing w:after="120" w:line="320"/>
      </w:pPr>
      <w:r>
        <w:t xml:space="preserve">Institutional ethics: SDA Bocconi procedures via ecr.unibocconi.it, completed ahead of Cycle 1 on 25 August 2026: research-ethics course, Consent Form prepared through the portal, and the self-assessment checklist with no element flagged. The project was created on 26 August 2026 and submitted to the committee as application EA001257 on 1 September 2026; the committee reviewed it on 9 September 2026, deemed the project compliant with the University’s Research Ethics Policy, and the application is recorded as approved. The approved design has the candidate delivering none of the Cycle 1 cohorts. The candidate delivers the October cohorts, which restores the facilitator-researcher dual role that version 1.5 had removed, and this was filed as amendment EA001257.01 on 10 September 2026, where it is recorded as submitted and awaits determination. No cohort contributes data under the changed arrangement before the amendment is determined. The completed checklist record, with the reasoning on the two judgment items (gatekeeper access and external-provider GDPR compliance), is retained in the audit trail. The two Cycle 1 interviews are still raised with the supervisor before they are conducted, because they introduce identifiable participants to a study whose earlier design had none.</w:t>
      </w:r>
    </w:p>
    <w:p>
      <w:pPr>
        <w:spacing w:after="120" w:line="320"/>
      </w:pPr>
      <w:r>
        <w:t xml:space="preserve">Indicative sequence: amendment EA001257.01 determined, and client authorization confirmed for each participating organization, before that organization’s first session; instrument layer built, tested and rehearsed on the delivery devices before 11 October 2026; Cohort 1C, if confirmed, delivered 11 to 15 October 2026; Cohorts 1A and 1B delivered 20 to 22 and 25 to 27 October 2026; export and verification within 48 hours of each cohort’s final day; the two practitioner interviews conducted after the October deliveries, each of approximately 30 minutes, captured in written notes and written up by hand; instrument and material refinements applied between cohorts where the interval allows, and otherwise ahead of the next Cycle 1 cohort or Cycle 2; Cycle 2 fieldwork from late 2026, with significant changes returned to the committee as amendments.</w:t>
      </w:r>
    </w:p>
    <w:p>
      <w:pPr>
        <w:spacing w:after="120" w:line="320"/>
      </w:pPr>
      <w:r>
        <w:t xml:space="preserve">Contact for participant questions: the candidate, and ethics@unibocconi.it as the institutional contact.</w:t>
      </w:r>
    </w:p>
    <w:p>
      <w:pPr>
        <w:pStyle w:val="Heading1"/>
        <w:spacing w:after="120" w:before="260"/>
      </w:pPr>
      <w:r>
        <w:t xml:space="preserve">10. Summary of changes</w:t>
      </w:r>
    </w:p>
    <w:p>
      <w:pPr>
        <w:spacing w:after="120" w:line="320"/>
      </w:pPr>
      <w:r>
        <w:t xml:space="preserve">From version 1.9 to version 2.0</w:t>
      </w:r>
    </w:p>
    <w:p>
      <w:pPr>
        <w:spacing w:after="120" w:line="320"/>
      </w:pPr>
      <w:r>
        <w:t xml:space="preserve">• House style throughout: American spelling, replacing the mixed usage of earlier versions. Sections 11 and 12 are deliberately excluded and keep the spelling of the instruments as approved, because they reproduce participant-facing text annexed at the Ethics Committee’s pre-screening request and are not the candidate’s prose to restyle. The Informed Consent Form approved under EA001257 is likewise unchanged.</w:t>
      </w:r>
    </w:p>
    <w:p>
      <w:pPr>
        <w:spacing w:after="120" w:line="320"/>
      </w:pPr>
      <w:r>
        <w:t xml:space="preserve">• The version number advances to 2.0 rather than 1.10, which would sit ambiguously beside version 1.1 in the change log below. No procedure, instrument, consent arrangement, data-management control or risk assessment changes in this version.</w:t>
      </w:r>
    </w:p>
    <w:p>
      <w:pPr>
        <w:spacing w:after="120" w:line="320"/>
      </w:pPr>
      <w:r>
        <w:t xml:space="preserve">From version 1.8 to version 1.9</w:t>
      </w:r>
    </w:p>
    <w:p>
      <w:pPr>
        <w:spacing w:after="120" w:line="320"/>
      </w:pPr>
      <w:r>
        <w:t xml:space="preserve">• Sections 2, 6 and 9: the change of facilitator described in version 1.8 was filed with the Ethics Committee on 10 September 2026 as amendment EA001257.01, an Expedite Application Amendment, and is recorded in the portal as submitted. The passages that anticipated the filing now record it. Nothing else changes, and the condition is unchanged: no cohort contributes data under the changed arrangement before the amendment is determined.</w:t>
      </w:r>
    </w:p>
    <w:p>
      <w:pPr>
        <w:spacing w:after="120" w:line="320"/>
      </w:pPr>
      <w:r>
        <w:t xml:space="preserve">From version 1.7 to version 1.8</w:t>
      </w:r>
    </w:p>
    <w:p>
      <w:pPr>
        <w:spacing w:after="120" w:line="320"/>
      </w:pPr>
      <w:r>
        <w:t xml:space="preserve">• Sections 2, 6, 8 and 9: the candidate delivers Cohorts 1A and 1B. Versions 1.5 to 1.7 passed all Cycle 1 delivery to a professional colleague, and the Ethics Committee approved application EA001257 on that basis, with the facilitator-researcher dual role absent from data generation rather than mitigated. Returning delivery to the candidate restores the dual role, which is a material change to an approved application. It was filed with the committee as amendment EA001257.01 on 10 September 2026, and no cohort contributes data under the changed arrangement before the amendment is determined. Section 6 states the change rather than describing the new arrangement as though it were the approved one, and the Section 8 risk entry on facilitator influence is rewritten from absent to live.</w:t>
      </w:r>
    </w:p>
    <w:p>
      <w:pPr>
        <w:spacing w:after="120" w:line="320"/>
      </w:pPr>
      <w:r>
        <w:t xml:space="preserve">• Sections 2 and 9: the delivery at the technology company on 6 to 9 September 2026, prepared under version 1.7 as Cohort 1A, leaves the study. The committee’s decision had not been issued when it began, so it ran as an ordinary commercial course with the instrument layer switched off. Approval was issued on that delivery’s final day; consent was never sought and the instruments never ran, so it contributes no data and approval is not applied to it retrospectively.</w:t>
      </w:r>
    </w:p>
    <w:p>
      <w:pPr>
        <w:spacing w:after="120" w:line="320"/>
      </w:pPr>
      <w:r>
        <w:t xml:space="preserve">• Section 2: the two cohorts at the procurement organization become Cohorts 1A and 1B, three days each, 20 to 22 and 25 to 27 October 2026. A possible five-day cohort on 11 to 15 October 2026 is recorded as Cohort 1C, not yet contracted. Colleague-delivered cohorts become a standing feature of the design across 2026 and 2027 rather than named dates, and the within-cycle presence comparison returns on that basis.</w:t>
      </w:r>
    </w:p>
    <w:p>
      <w:pPr>
        <w:spacing w:after="120" w:line="320"/>
      </w:pPr>
      <w:r>
        <w:t xml:space="preserve">• Sections 2 and 9: the ECR record is stated from the committee’s approval document and the portal: application EA001257 created 26 August 2026, submitted 1 September 2026, reviewed and deemed compliant with the University’s Research Ethics Policy 9 September 2026.</w:t>
      </w:r>
    </w:p>
    <w:p>
      <w:pPr>
        <w:spacing w:after="120" w:line="320"/>
      </w:pPr>
      <w:r>
        <w:t xml:space="preserve">• Sections 7 and 9: export targets and the indicative sequence follow the October dates, and supervisor review is targeted before the first October session.</w:t>
      </w:r>
    </w:p>
    <w:p>
      <w:pPr>
        <w:spacing w:after="120" w:line="320"/>
      </w:pPr>
      <w:r>
        <w:t xml:space="preserve">• No learner instrument, consent arrangement, anonymity control or data-management control changes in this version. Sections 11 and 12 are unchanged, and the Informed Consent Form approved under EA001257 remains the operative consent document.</w:t>
      </w:r>
    </w:p>
    <w:p>
      <w:pPr>
        <w:spacing w:after="120" w:line="320"/>
      </w:pPr>
      <w:r>
        <w:t xml:space="preserve">From version 1.6 to version 1.7</w:t>
      </w:r>
    </w:p>
    <w:p>
      <w:pPr>
        <w:spacing w:after="120" w:line="320"/>
      </w:pPr>
      <w:r>
        <w:t xml:space="preserve">• Sections 2 and 9: the statement that a clear self-assessment checklist made formal ECR submission optional is replaced by a factual record that the project was submitted to the Bocconi Research Ethics Committee as application EA001257 and that this protocol and the Consent Form are revised in response to the committee’s pre-screening. The checklist result is unchanged and still recorded; only the inference drawn from it is removed.</w:t>
      </w:r>
    </w:p>
    <w:p>
      <w:pPr>
        <w:spacing w:after="120" w:line="320"/>
      </w:pPr>
      <w:r>
        <w:t xml:space="preserve">• No procedure, instrument, consent arrangement, data-management control or risk assessment changes in this version.</w:t>
      </w:r>
    </w:p>
    <w:p>
      <w:pPr>
        <w:spacing w:after="120" w:line="320"/>
      </w:pPr>
      <w:r>
        <w:t xml:space="preserve">From version 1.5 to version 1.6</w:t>
      </w:r>
    </w:p>
    <w:p>
      <w:pPr>
        <w:spacing w:after="120" w:line="320"/>
      </w:pPr>
      <w:r>
        <w:t xml:space="preserve">• Sections 6A, 7, 8, 9 and Annex B: interviews are no longer audio-recorded. Version 1.5 made recording the default with notes-only available at the participant’s request; version 1.6 removes recording altogether and makes written notes the sole interview record. This narrows what version 1.5 already permitted rather than adding anything new, and it removes the only identifiable audio in the study.</w:t>
      </w:r>
    </w:p>
    <w:p>
      <w:pPr>
        <w:spacing w:after="120" w:line="320"/>
      </w:pPr>
      <w:r>
        <w:t xml:space="preserve">• Section 6A and Annex B: the interview record is a handwritten note written up immediately after the interview, with wording presented as a verbatim quotation only where it was written down verbatim at the time, and the write-up returned to the participant for confirmation before use. This preserves the existing commitment that quotations are checked with the speaker, which a notes-based record would otherwise weaken.</w:t>
      </w:r>
    </w:p>
    <w:p>
      <w:pPr>
        <w:spacing w:after="120" w:line="320"/>
      </w:pPr>
      <w:r>
        <w:t xml:space="preserve">• Annex B: interview duration reduced from 45 to 60 minutes to approximately 30 minutes, and the guide’s role-split stated explicitly, so that a single interview covers eight or nine of the twelve questions and the shorter duration is realistic as written.</w:t>
      </w:r>
    </w:p>
    <w:p>
      <w:pPr>
        <w:spacing w:after="120" w:line="320"/>
      </w:pPr>
      <w:r>
        <w:t xml:space="preserve">• Section 7: interview data handling rewritten for a notes-based record. Handwritten notes are secured until the write-up is verified against them and destroyed thereafter; pseudonymized write-ups are encrypted, retained for the duration of the research and destroyed after thesis acceptance; the pseudonym key is held separately and destroyed once analysis is complete. The prohibition on entering participant responses into generative AI systems, including automated transcription services, is retained in full.</w:t>
      </w:r>
    </w:p>
    <w:p>
      <w:pPr>
        <w:spacing w:after="120" w:line="320"/>
      </w:pPr>
      <w:r>
        <w:t xml:space="preserve">• Section 9: the indicative sequence records the two interviews as approximately 30 minutes each, captured in written notes.</w:t>
      </w:r>
    </w:p>
    <w:p>
      <w:pPr>
        <w:spacing w:after="120" w:line="320"/>
      </w:pPr>
      <w:r>
        <w:t xml:space="preserve">• The Informed Consent prepared through the Bocconi portal is reissued to match this version: the Procedures and duration paragraph states the four learner instruments with their timings and the 30-minute unrecorded interview; the confidentiality paragraph describes a notes-based interview record and states plainly that a role label does not conceal identity in a study with one facilitator and one training contact; and the voluntariness paragraph distinguishes learner withdrawal, which is not possible after submission because responses carry no identifier, from interview withdrawal, which is open up to write-up.</w:t>
      </w:r>
    </w:p>
    <w:p>
      <w:pPr>
        <w:spacing w:after="120" w:line="320"/>
      </w:pPr>
      <w:r>
        <w:t xml:space="preserve">• No learner instrument, consent option, or anonymity control changes in this version.</w:t>
      </w:r>
    </w:p>
    <w:p>
      <w:pPr>
        <w:spacing w:after="120" w:line="320"/>
      </w:pPr>
      <w:r>
        <w:t xml:space="preserve">From version 1.4 to version 1.5</w:t>
      </w:r>
    </w:p>
    <w:p>
      <w:pPr>
        <w:spacing w:after="120" w:line="320"/>
      </w:pPr>
      <w:r>
        <w:t xml:space="preserve">• Sections 11 and 12 (new): the instruments are annexed as participants will see them, at the Ethics Committee’s pre-screening request on application EA001257: the consent and briefing screen, the pre-training questionnaire, the daily reflection card and the post-training evaluation (the English texts of Research Instruments v2.3, whose Part 2 carries the Arabic mirrors), and the semi-structured interview guide.</w:t>
      </w:r>
    </w:p>
    <w:p>
      <w:pPr>
        <w:spacing w:after="120" w:line="320"/>
      </w:pPr>
      <w:r>
        <w:t xml:space="preserve">• Sections 2, 3, 6 and 9: delivery of all Cycle 1 cohorts has passed to a professional colleague; the candidate neither facilitates nor observes any cohort and is not present in the room. The dual role is absent from data generation, and the within-cycle presence comparison described in earlier versions passes to Cycle 2.</w:t>
      </w:r>
    </w:p>
    <w:p>
      <w:pPr>
        <w:spacing w:after="120" w:line="320"/>
      </w:pPr>
      <w:r>
        <w:t xml:space="preserve">• Sections 2 and 9: the second organization’s two cohorts, originally 6 to 8 and 13 to 15 September 2026, were postponed by the client by an expected two to three weeks. The per-cohort instance separation is restated as a property of the platform rather than of any particular week’s schedule. No procedure changes with the dates.</w:t>
      </w:r>
    </w:p>
    <w:p>
      <w:pPr>
        <w:spacing w:after="120" w:line="320"/>
      </w:pPr>
      <w:r>
        <w:t xml:space="preserve">• Annex B corrects the interview guide’s opening reminder, which in earlier drafts said responses are anonymized and withdrawal is possible at any time. Neither was accurate for the interview strand: Section 6A promises confidentiality with pseudonymization at transcription, and withdrawal up to the start of analysis. The guide now says what Section 6A says.</w:t>
      </w:r>
    </w:p>
    <w:p>
      <w:pPr>
        <w:spacing w:after="120" w:line="320"/>
      </w:pPr>
      <w:r>
        <w:t xml:space="preserve">• No learner instrument, consent arrangement, or data-management control changes in this version.</w:t>
      </w:r>
    </w:p>
    <w:p>
      <w:pPr>
        <w:spacing w:after="120" w:line="320"/>
      </w:pPr>
      <w:r>
        <w:t xml:space="preserve">From version 1.3 to version 1.4</w:t>
      </w:r>
    </w:p>
    <w:p>
      <w:pPr>
        <w:spacing w:after="120" w:line="320"/>
      </w:pPr>
      <w:r>
        <w:t xml:space="preserve">• Section 2 and Section 9: the institutional ethics procedure is recorded as completed ahead of Cycle 1 (25 August 2026): ethics course, Consent Form via the portal, and the self-assessment checklist with no element flagged, so ECR submission is optional under the committee’s rule. Earlier versions deferred the institutional process to Cycle 2; the committee’s guidance of 25 August 2026 established that consent must precede any collection from individuals, and the procedure was completed accordingly.</w:t>
      </w:r>
    </w:p>
    <w:p>
      <w:pPr>
        <w:spacing w:after="120" w:line="320"/>
      </w:pPr>
      <w:r>
        <w:t xml:space="preserve">• Section 9: Cycle 2 ethics wording changed from "following institutional ethics approval" to reassessment of the checklist with submission if any element flags.</w:t>
      </w:r>
    </w:p>
    <w:p>
      <w:pPr>
        <w:spacing w:after="120" w:line="320"/>
      </w:pPr>
      <w:r>
        <w:t xml:space="preserve">From version 1.2 to version 1.3</w:t>
      </w:r>
    </w:p>
    <w:p>
      <w:pPr>
        <w:spacing w:after="120" w:line="320"/>
      </w:pPr>
      <w:r>
        <w:t xml:space="preserve">• Sections 3 and 6A: an interview strand is added to Cycle 1, two practitioners rather than none. This is the substantive change, and it breaks a property version 1.2 could state without qualification. The study is no longer anonymous throughout. Learner instruments remain anonymous at source; interview participants are known to the candidate and are offered confidentiality instead, which is a weaker promise and is described to them as one. Every anonymity claim elsewhere in this protocol is now explicitly scoped to the learner instruments.</w:t>
      </w:r>
    </w:p>
    <w:p>
      <w:pPr>
        <w:spacing w:after="120" w:line="320"/>
      </w:pPr>
      <w:r>
        <w:t xml:space="preserve">• Section 4: the interview guide is recorded as a fifth instrument, outside the screen-delivered set.</w:t>
      </w:r>
    </w:p>
    <w:p>
      <w:pPr>
        <w:spacing w:after="120" w:line="320"/>
      </w:pPr>
      <w:r>
        <w:t xml:space="preserve">• Sections 5 and 6A: interview consent is written, individual, separate from any commercial or working relationship, and revocable up to write-up, which the learner instruments cannot offer because their responses cannot be found again.</w:t>
      </w:r>
    </w:p>
    <w:p>
      <w:pPr>
        <w:spacing w:after="120" w:line="320"/>
      </w:pPr>
      <w:r>
        <w:t xml:space="preserve">• Section 7: interview recordings and transcripts are brought under the data management plan, with retention, pseudonymization and key handling specified. The prohibition on entering participant responses into generative AI systems is extended explicitly to automated transcription services and to AI assistance with coding, which is where it is most likely to be breached inadvertently.</w:t>
      </w:r>
    </w:p>
    <w:p>
      <w:pPr>
        <w:spacing w:after="120" w:line="320"/>
      </w:pPr>
      <w:r>
        <w:t xml:space="preserve">• Section 8: adds the risk of interviewing a colleague and a client, and the residual identifiability of two named-role participants.</w:t>
      </w:r>
    </w:p>
    <w:p>
      <w:pPr>
        <w:spacing w:after="120" w:line="320"/>
      </w:pPr>
      <w:r>
        <w:t xml:space="preserve">• Section 9: the interviews are raised with the supervisor before being conducted.</w:t>
      </w:r>
    </w:p>
    <w:p>
      <w:pPr>
        <w:spacing w:after="120" w:line="320"/>
      </w:pPr>
      <w:r>
        <w:t xml:space="preserve">From version 1.1 to version 1.2</w:t>
      </w:r>
    </w:p>
    <w:p>
      <w:pPr>
        <w:spacing w:after="120" w:line="320"/>
      </w:pPr>
      <w:r>
        <w:t xml:space="preserve">• Section 2: Cycle 1 grows from two cohorts at two organizations to up to four at three, with two program lengths, and two of them delivered by a colleague rather than by the candidate. Two cohorts overlap in the same week and are served by separate instances with cohort-scoped counts, exports and deletion.</w:t>
      </w:r>
    </w:p>
    <w:p>
      <w:pPr>
        <w:spacing w:after="120" w:line="320"/>
      </w:pPr>
      <w:r>
        <w:t xml:space="preserve">• Section 4: the daily reflection is one card per training day rather than four, and the cross-program question attaches to the final day rather than to Day 4. The substitution that produces a shorter program is specified, and pointed at Part 5 of Research Instruments v2.1.</w:t>
      </w:r>
    </w:p>
    <w:p>
      <w:pPr>
        <w:spacing w:after="120" w:line="320"/>
      </w:pPr>
      <w:r>
        <w:t xml:space="preserve">• Section 4: the paper fallback now follows the collection-box procedure of the facilitator run sheet rather than the sealed-envelope-per-participant procedure of version 1.0, which reintroduced a per-person object.</w:t>
      </w:r>
    </w:p>
    <w:p>
      <w:pPr>
        <w:spacing w:after="120" w:line="320"/>
      </w:pPr>
      <w:r>
        <w:t xml:space="preserve">• Section 5: the sentence about declining participants no longer implies a technical control that cannot exist without breaching Section 6, and says instead what the design delivers, that the software prompts nobody.</w:t>
      </w:r>
    </w:p>
    <w:p>
      <w:pPr>
        <w:spacing w:after="120" w:line="320"/>
      </w:pPr>
      <w:r>
        <w:t xml:space="preserve">• Section 5: the voluntariness reminder is recorded as appearing on every instrument after the Day 1 briefing, which Research Instruments v2.1 corrects and v2.0 did not satisfy.</w:t>
      </w:r>
    </w:p>
    <w:p>
      <w:pPr>
        <w:spacing w:after="120" w:line="320"/>
      </w:pPr>
      <w:r>
        <w:t xml:space="preserve">• Section 6: the facilitator-researcher dual role is scoped to the cohort the candidate delivers, and its absence in the colleague-delivered cohorts is identified as a comparison rather than passed over.</w:t>
      </w:r>
    </w:p>
    <w:p>
      <w:pPr>
        <w:spacing w:after="120" w:line="320"/>
      </w:pPr>
      <w:r>
        <w:t xml:space="preserve">• Section 7: the claim that connection metadata is "not logged, not retained" is narrowed to what the study can evidence, and strengthened where it can be: participants never connect to the database at all.</w:t>
      </w:r>
    </w:p>
    <w:p>
      <w:pPr>
        <w:spacing w:after="120" w:line="320"/>
      </w:pPr>
      <w:r>
        <w:t xml:space="preserve">• Section 7: response identifiers are described as generated when the record is written, which is how they are built, rather than at export.</w:t>
      </w:r>
    </w:p>
    <w:p>
      <w:pPr>
        <w:spacing w:after="120" w:line="320"/>
      </w:pPr>
      <w:r>
        <w:t xml:space="preserve">• Sections 8 and 9: the risks of two overlapping cohorts, and a timeline covering all of them.</w:t>
      </w:r>
    </w:p>
    <w:p>
      <w:pPr>
        <w:spacing w:after="120" w:line="320"/>
      </w:pPr>
      <w:r>
        <w:t xml:space="preserve">From version 1.0 to version 1.1, retained for the audit trail</w:t>
      </w:r>
    </w:p>
    <w:p>
      <w:pPr>
        <w:spacing w:after="120" w:line="320"/>
      </w:pPr>
      <w:r>
        <w:t xml:space="preserve">• Section 2: Cycle 1 became two cohorts (September and October 2026) rather than a single pilot cohort.</w:t>
      </w:r>
    </w:p>
    <w:p>
      <w:pPr>
        <w:spacing w:after="120" w:line="320"/>
      </w:pPr>
      <w:r>
        <w:t xml:space="preserve">• Section 4: instruments moved from paper to online web forms, with no login and no connection to the FinPlay platform. A printed fallback set was retained for operational failure.</w:t>
      </w:r>
    </w:p>
    <w:p>
      <w:pPr>
        <w:spacing w:after="120" w:line="320"/>
      </w:pPr>
      <w:r>
        <w:t xml:space="preserve">• Section 5: the sealed-envelope return channel was replaced by online submission with two equally prominent consent options. The change to how declining is recorded was stated explicitly rather than left implicit.</w:t>
      </w:r>
    </w:p>
    <w:p>
      <w:pPr>
        <w:spacing w:after="120" w:line="320"/>
      </w:pPr>
      <w:r>
        <w:t xml:space="preserve">• Section 6: anonymity controls were restated in technical terms appropriate to online collection, and the resulting loss of within-cohort linkage and longitudinal follow-up was acknowledged.</w:t>
      </w:r>
    </w:p>
    <w:p>
      <w:pPr>
        <w:spacing w:after="120" w:line="320"/>
      </w:pPr>
      <w:r>
        <w:t xml:space="preserve">• Section 7: added hosting jurisdiction, the treatment of connection metadata, client authorization, export and source deletion. The cross-border transfer statement was narrowed to what the design supports.</w:t>
      </w:r>
    </w:p>
    <w:p>
      <w:pPr>
        <w:spacing w:after="120" w:line="320"/>
      </w:pPr>
      <w:r>
        <w:t xml:space="preserve">• Section 8: added risks arising from digital collection, namely perceived tracking, network and device failure, unequal device access, and bilingual rendering.</w:t>
      </w:r>
    </w:p>
    <w:p>
      <w:pPr>
        <w:spacing w:after="120" w:line="320"/>
      </w:pPr>
      <w:r>
        <w:t xml:space="preserve">• Section 9: timeline extended to cover the October cohort and the build and testing of the instrument layer.</w:t>
      </w:r>
    </w:p>
    <w:p>
      <w:pPr>
        <w:pStyle w:val="Heading1"/>
        <w:spacing w:after="120" w:before="260"/>
      </w:pPr>
      <w:r>
        <w:t xml:space="preserve">11. Annex A: The learner instruments as participants see them</w:t>
      </w:r>
    </w:p>
    <w:p>
      <w:pPr>
        <w:spacing w:after="120" w:line="320"/>
      </w:pPr>
      <w:r>
        <w:t xml:space="preserve">The texts below are the English instruments of Research Instruments v2.3, Part 1, reproduced verbatim. Participants may equally choose the Arabic versions, which are the mirror texts in Part 2 of the same document. Formatting is simplified for this annex: rating grids are listed as numbered statements, each answered on the scale stated in the instrument.</w:t>
      </w:r>
    </w:p>
    <w:p>
      <w:pPr>
        <w:spacing w:after="120" w:line="320"/>
      </w:pPr>
      <w:r>
        <w:t xml:space="preserve">A.1 Consent and Briefing</w:t>
      </w:r>
    </w:p>
    <w:p>
      <w:pPr>
        <w:spacing w:after="120" w:line="320"/>
      </w:pPr>
      <w:r>
        <w:t xml:space="preserve">Screen 1 of the online instrument set. Presented on Day 1 before any teaching content.</w:t>
      </w:r>
    </w:p>
    <w:p>
      <w:pPr>
        <w:spacing w:after="120" w:line="320"/>
      </w:pPr>
      <w:r>
        <w:t xml:space="preserve">### Research Participation: Information and Consent</w:t>
      </w:r>
    </w:p>
    <w:p>
      <w:pPr>
        <w:spacing w:after="120" w:line="320"/>
      </w:pPr>
      <w:r>
        <w:t xml:space="preserve">Doctoral research study, SDA Bocconi School of Management</w:t>
      </w:r>
    </w:p>
    <w:p>
      <w:pPr>
        <w:spacing w:after="120" w:line="320"/>
      </w:pPr>
      <w:r>
        <w:t xml:space="preserve">Thank you for taking part in this training programme.</w:t>
      </w:r>
    </w:p>
    <w:p>
      <w:pPr>
        <w:spacing w:after="120" w:line="320"/>
      </w:pPr>
      <w:r>
        <w:t xml:space="preserve">The training materials used in this programme were designed with the assistance of artificial intelligence, as part of a doctoral research project at SDA Bocconi School of Management, supervised by Professor Emanuele Borgonovo.</w:t>
      </w:r>
    </w:p>
    <w:p>
      <w:pPr>
        <w:spacing w:after="120" w:line="320"/>
      </w:pPr>
      <w:r>
        <w:t xml:space="preserve">About the research</w:t>
      </w:r>
    </w:p>
    <w:p>
      <w:pPr>
        <w:spacing w:after="120" w:line="320"/>
      </w:pPr>
      <w:r>
        <w:t xml:space="preserve">This study examines how AI-assisted design affects the quality of finance training for working professionals, how people experience gamified simulation, and what makes such training effective and trustworthy.</w:t>
      </w:r>
    </w:p>
    <w:p>
      <w:pPr>
        <w:spacing w:after="120" w:line="320"/>
      </w:pPr>
      <w:r>
        <w:t xml:space="preserve">What you are being asked to do</w:t>
      </w:r>
    </w:p>
    <w:p>
      <w:pPr>
        <w:spacing w:after="120" w:line="320"/>
      </w:pPr>
      <w:r>
        <w:t xml:space="preserve">During this four-day programme you may complete four short activities: a brief questionnaire at the start of Day 1, a short reflection at the end of each day (about five minutes), and a final evaluation at the end of Day 4 (about ten minutes).</w:t>
      </w:r>
    </w:p>
    <w:p>
      <w:pPr>
        <w:spacing w:after="120" w:line="320"/>
      </w:pPr>
      <w:r>
        <w:t xml:space="preserve">Your responses are anonymous</w:t>
      </w:r>
    </w:p>
    <w:p>
      <w:pPr>
        <w:spacing w:after="120" w:line="320"/>
      </w:pPr>
      <w:r>
        <w:t xml:space="preserve">• No name, employee number, email address, or any other identifying information is collected at any point</w:t>
      </w:r>
    </w:p>
    <w:p>
      <w:pPr>
        <w:spacing w:after="120" w:line="320"/>
      </w:pPr>
      <w:r>
        <w:t xml:space="preserve">• You do not log in, and these forms are completely separate from the FinPlay training platform</w:t>
      </w:r>
    </w:p>
    <w:p>
      <w:pPr>
        <w:spacing w:after="120" w:line="320"/>
      </w:pPr>
      <w:r>
        <w:t xml:space="preserve">• Your responses cannot be linked to you, to each other, or to anything you do in the training</w:t>
      </w:r>
    </w:p>
    <w:p>
      <w:pPr>
        <w:spacing w:after="120" w:line="320"/>
      </w:pPr>
      <w:r>
        <w:t xml:space="preserve">• Your employer will never see individual responses, because no individual responses exist to see</w:t>
      </w:r>
    </w:p>
    <w:p>
      <w:pPr>
        <w:spacing w:after="120" w:line="320"/>
      </w:pPr>
      <w:r>
        <w:t xml:space="preserve">Your choice is free</w:t>
      </w:r>
    </w:p>
    <w:p>
      <w:pPr>
        <w:spacing w:after="120" w:line="320"/>
      </w:pPr>
      <w: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spacing w:after="120" w:line="320"/>
      </w:pPr>
      <w:r>
        <w:t xml:space="preserve">You may stop at any time simply by not completing a later activity. Because responses carry no identifiers, a submitted response cannot afterwards be found and withdrawn.</w:t>
      </w:r>
    </w:p>
    <w:p>
      <w:pPr>
        <w:spacing w:after="120" w:line="320"/>
      </w:pPr>
      <w:r>
        <w:t xml:space="preserve">Questions</w:t>
      </w:r>
    </w:p>
    <w:p>
      <w:pPr>
        <w:spacing w:after="120" w:line="320"/>
      </w:pPr>
      <w:r>
        <w:t xml:space="preserve">Contact the researcher, Aiman S. Sadeq, or the institutional ethics contact at ethics@unibocconi.it.</w:t>
      </w:r>
    </w:p>
    <w:p>
      <w:pPr>
        <w:spacing w:after="120" w:line="320"/>
      </w:pPr>
      <w:r>
        <w:t xml:space="preserve">---</w:t>
      </w:r>
    </w:p>
    <w:p>
      <w:pPr>
        <w:spacing w:after="120" w:line="320"/>
      </w:pPr>
      <w:r>
        <w:t xml:space="preserve">Please choose one:</w:t>
      </w:r>
    </w:p>
    <w:p>
      <w:pPr>
        <w:spacing w:after="120" w:line="320"/>
      </w:pPr>
      <w:r>
        <w:t xml:space="preserve">• ( ) I agree to take part in the research</w:t>
      </w:r>
    </w:p>
    <w:p>
      <w:pPr>
        <w:spacing w:after="120" w:line="320"/>
      </w:pPr>
      <w:r>
        <w:t xml:space="preserve">• ( ) I prefer not to take part</w:t>
      </w:r>
    </w:p>
    <w:p>
      <w:pPr>
        <w:spacing w:after="120" w:line="320"/>
      </w:pPr>
      <w:r>
        <w:t xml:space="preserve">[Both options continue to the same confirmation screen.]</w:t>
      </w:r>
    </w:p>
    <w:p>
      <w:pPr>
        <w:spacing w:after="120" w:line="320"/>
      </w:pPr>
      <w:r>
        <w:t xml:space="preserve">---</w:t>
      </w:r>
    </w:p>
    <w:p>
      <w:pPr>
        <w:spacing w:after="120" w:line="320"/>
      </w:pPr>
      <w:r>
        <w:t xml:space="preserve">A.2 Pre-Training Questionnaire</w:t>
      </w:r>
    </w:p>
    <w:p>
      <w:pPr>
        <w:spacing w:after="120" w:line="320"/>
      </w:pPr>
      <w:r>
        <w:t xml:space="preserve">Day 1, before training content begins. About five minutes.</w:t>
      </w:r>
    </w:p>
    <w:p>
      <w:pPr>
        <w:spacing w:after="120" w:line="320"/>
      </w:pPr>
      <w:r>
        <w:t xml:space="preserve">A reminder: taking part remains voluntary, and your responses are anonymous.</w:t>
      </w:r>
    </w:p>
    <w:p>
      <w:pPr>
        <w:spacing w:after="120" w:line="320"/>
      </w:pPr>
      <w:r>
        <w:t xml:space="preserve">Your responses are anonymous. This helps the researcher understand the range of backgrounds and expectations in the group.</w:t>
      </w:r>
    </w:p>
    <w:p>
      <w:pPr>
        <w:spacing w:after="120" w:line="320"/>
      </w:pPr>
      <w:r>
        <w:t xml:space="preserve">Section A: Background</w:t>
      </w:r>
    </w:p>
    <w:p>
      <w:pPr>
        <w:spacing w:after="120" w:line="320"/>
      </w:pPr>
      <w:r>
        <w:t xml:space="preserve">A1. Which best describes your current role?</w:t>
      </w:r>
    </w:p>
    <w:p>
      <w:pPr>
        <w:spacing w:after="120" w:line="320"/>
      </w:pPr>
      <w:r>
        <w:t xml:space="preserve">• ( ) Individual contributor or specialist</w:t>
      </w:r>
    </w:p>
    <w:p>
      <w:pPr>
        <w:spacing w:after="120" w:line="320"/>
      </w:pPr>
      <w:r>
        <w:t xml:space="preserve">• ( ) Supervisor or team leader</w:t>
      </w:r>
    </w:p>
    <w:p>
      <w:pPr>
        <w:spacing w:after="120" w:line="320"/>
      </w:pPr>
      <w:r>
        <w:t xml:space="preserve">• ( ) Manager</w:t>
      </w:r>
    </w:p>
    <w:p>
      <w:pPr>
        <w:spacing w:after="120" w:line="320"/>
      </w:pPr>
      <w:r>
        <w:t xml:space="preserve">• ( ) Senior manager, director or above</w:t>
      </w:r>
    </w:p>
    <w:p>
      <w:pPr>
        <w:spacing w:after="120" w:line="320"/>
      </w:pPr>
      <w:r>
        <w:t xml:space="preserve">• ( ) Prefer not to say</w:t>
      </w:r>
    </w:p>
    <w:p>
      <w:pPr>
        <w:spacing w:after="120" w:line="320"/>
      </w:pPr>
      <w:r>
        <w:t xml:space="preserve">A2. How many years of professional experience do you have?</w:t>
      </w:r>
    </w:p>
    <w:p>
      <w:pPr>
        <w:spacing w:after="120" w:line="320"/>
      </w:pPr>
      <w:r>
        <w:t xml:space="preserve">• ( ) Under 5 years</w:t>
      </w:r>
    </w:p>
    <w:p>
      <w:pPr>
        <w:spacing w:after="120" w:line="320"/>
      </w:pPr>
      <w:r>
        <w:t xml:space="preserve">• ( ) 5 to 10 years</w:t>
      </w:r>
    </w:p>
    <w:p>
      <w:pPr>
        <w:spacing w:after="120" w:line="320"/>
      </w:pPr>
      <w:r>
        <w:t xml:space="preserve">• ( ) 11 to 20 years</w:t>
      </w:r>
    </w:p>
    <w:p>
      <w:pPr>
        <w:spacing w:after="120" w:line="320"/>
      </w:pPr>
      <w:r>
        <w:t xml:space="preserve">• ( ) Over 20 years</w:t>
      </w:r>
    </w:p>
    <w:p>
      <w:pPr>
        <w:spacing w:after="120" w:line="320"/>
      </w:pPr>
      <w:r>
        <w:t xml:space="preserve">• ( ) Prefer not to say</w:t>
      </w:r>
    </w:p>
    <w:p>
      <w:pPr>
        <w:spacing w:after="120" w:line="320"/>
      </w:pPr>
      <w:r>
        <w:t xml:space="preserve">Section B: Prior knowledge</w:t>
      </w:r>
    </w:p>
    <w:p>
      <w:pPr>
        <w:spacing w:after="120" w:line="320"/>
      </w:pPr>
      <w:r>
        <w:t xml:space="preserve">B1. How would you rate your current understanding of financial concepts such as financial statements, budgeting and financial analysis?</w:t>
      </w:r>
    </w:p>
    <w:p>
      <w:pPr>
        <w:spacing w:after="120" w:line="320"/>
      </w:pPr>
      <w:r>
        <w:t xml:space="preserve">• ( ) No prior knowledge</w:t>
      </w:r>
    </w:p>
    <w:p>
      <w:pPr>
        <w:spacing w:after="120" w:line="320"/>
      </w:pPr>
      <w:r>
        <w:t xml:space="preserve">• ( ) Basic understanding</w:t>
      </w:r>
    </w:p>
    <w:p>
      <w:pPr>
        <w:spacing w:after="120" w:line="320"/>
      </w:pPr>
      <w:r>
        <w:t xml:space="preserve">• ( ) Moderate understanding</w:t>
      </w:r>
    </w:p>
    <w:p>
      <w:pPr>
        <w:spacing w:after="120" w:line="320"/>
      </w:pPr>
      <w:r>
        <w:t xml:space="preserve">• ( ) Strong understanding</w:t>
      </w:r>
    </w:p>
    <w:p>
      <w:pPr>
        <w:spacing w:after="120" w:line="320"/>
      </w:pPr>
      <w:r>
        <w:t xml:space="preserve">• ( ) Expert level</w:t>
      </w:r>
    </w:p>
    <w:p>
      <w:pPr>
        <w:spacing w:after="120" w:line="320"/>
      </w:pPr>
      <w:r>
        <w:t xml:space="preserve">B2. Have you previously attended finance-related training?</w:t>
      </w:r>
    </w:p>
    <w:p>
      <w:pPr>
        <w:spacing w:after="120" w:line="320"/>
      </w:pPr>
      <w:r>
        <w:t xml:space="preserve">• ( ) Yes</w:t>
      </w:r>
    </w:p>
    <w:p>
      <w:pPr>
        <w:spacing w:after="120" w:line="320"/>
      </w:pPr>
      <w:r>
        <w:t xml:space="preserve">• ( ) No</w:t>
      </w:r>
    </w:p>
    <w:p>
      <w:pPr>
        <w:spacing w:after="120" w:line="320"/>
      </w:pPr>
      <w:r>
        <w:t xml:space="preserve">B3. If yes, please describe it briefly.</w:t>
      </w:r>
    </w:p>
    <w:p>
      <w:pPr>
        <w:spacing w:after="120" w:line="320"/>
      </w:pPr>
      <w:r>
        <w:t xml:space="preserve">[Open text, optional]</w:t>
      </w:r>
    </w:p>
    <w:p>
      <w:pPr>
        <w:spacing w:after="120" w:line="320"/>
      </w:pPr>
      <w:r>
        <w:t xml:space="preserve">Section C: Prior experience with gamified learning</w:t>
      </w:r>
    </w:p>
    <w:p>
      <w:pPr>
        <w:spacing w:after="120" w:line="320"/>
      </w:pPr>
      <w:r>
        <w:t xml:space="preserve">C1. Have you taken part in training that included games, simulations or competition as part of the learning?</w:t>
      </w:r>
    </w:p>
    <w:p>
      <w:pPr>
        <w:spacing w:after="120" w:line="320"/>
      </w:pPr>
      <w:r>
        <w:t xml:space="preserve">• ( ) Yes</w:t>
      </w:r>
    </w:p>
    <w:p>
      <w:pPr>
        <w:spacing w:after="120" w:line="320"/>
      </w:pPr>
      <w:r>
        <w:t xml:space="preserve">• ( ) No</w:t>
      </w:r>
    </w:p>
    <w:p>
      <w:pPr>
        <w:spacing w:after="120" w:line="320"/>
      </w:pPr>
      <w:r>
        <w:t xml:space="preserve">C2. How comfortable are you with technology-based learning tools such as online portals and interactive simulations?</w:t>
      </w:r>
    </w:p>
    <w:p>
      <w:pPr>
        <w:spacing w:after="120" w:line="320"/>
      </w:pPr>
      <w:r>
        <w:t xml:space="preserve">• ( ) Not comfortable at all</w:t>
      </w:r>
    </w:p>
    <w:p>
      <w:pPr>
        <w:spacing w:after="120" w:line="320"/>
      </w:pPr>
      <w:r>
        <w:t xml:space="preserve">• ( ) Somewhat comfortable</w:t>
      </w:r>
    </w:p>
    <w:p>
      <w:pPr>
        <w:spacing w:after="120" w:line="320"/>
      </w:pPr>
      <w:r>
        <w:t xml:space="preserve">• ( ) Comfortable</w:t>
      </w:r>
    </w:p>
    <w:p>
      <w:pPr>
        <w:spacing w:after="120" w:line="320"/>
      </w:pPr>
      <w:r>
        <w:t xml:space="preserve">• ( ) Very comfortable</w:t>
      </w:r>
    </w:p>
    <w:p>
      <w:pPr>
        <w:spacing w:after="120" w:line="320"/>
      </w:pPr>
      <w:r>
        <w:t xml:space="preserve">Section D: Expectations</w:t>
      </w:r>
    </w:p>
    <w:p>
      <w:pPr>
        <w:spacing w:after="120" w:line="320"/>
      </w:pPr>
      <w:r>
        <w:t xml:space="preserve">D1. What do you most hope to gain from this training programme?</w:t>
      </w:r>
    </w:p>
    <w:p>
      <w:pPr>
        <w:spacing w:after="120" w:line="320"/>
      </w:pPr>
      <w:r>
        <w:t xml:space="preserve">[Open text]</w:t>
      </w:r>
    </w:p>
    <w:p>
      <w:pPr>
        <w:spacing w:after="120" w:line="320"/>
      </w:pPr>
      <w:r>
        <w:t xml:space="preserve">---</w:t>
      </w:r>
    </w:p>
    <w:p>
      <w:pPr>
        <w:spacing w:after="120" w:line="320"/>
      </w:pPr>
      <w:r>
        <w:t xml:space="preserve">A.3 Daily Reflection, Days 1 to 4</w:t>
      </w:r>
    </w:p>
    <w:p>
      <w:pPr>
        <w:spacing w:after="120" w:line="320"/>
      </w:pPr>
      <w:r>
        <w:t xml:space="preserve">End of each training day. About five minutes.</w:t>
      </w:r>
    </w:p>
    <w:p>
      <w:pPr>
        <w:spacing w:after="120" w:line="320"/>
      </w:pPr>
      <w:r>
        <w:t xml:space="preserve">A reminder: taking part remains voluntary, and your responses are anonymous.</w:t>
      </w:r>
    </w:p>
    <w:p>
      <w:pPr>
        <w:spacing w:after="120" w:line="320"/>
      </w:pPr>
      <w:r>
        <w:t xml:space="preserve">Which day is this?</w:t>
      </w:r>
    </w:p>
    <w:p>
      <w:pPr>
        <w:spacing w:after="120" w:line="320"/>
      </w:pPr>
      <w:r>
        <w:t xml:space="preserve">• ( ) Day 1  ( ) Day 2  ( ) Day 3  ( ) Day 4</w:t>
      </w:r>
    </w:p>
    <w:p>
      <w:pPr>
        <w:spacing w:after="120" w:line="320"/>
      </w:pPr>
      <w:r>
        <w:t xml:space="preserve">R1. What was the most useful or valuable thing you learned or experienced today?</w:t>
      </w:r>
    </w:p>
    <w:p>
      <w:pPr>
        <w:spacing w:after="120" w:line="320"/>
      </w:pPr>
      <w:r>
        <w:t xml:space="preserve">[Open text]</w:t>
      </w:r>
    </w:p>
    <w:p>
      <w:pPr>
        <w:spacing w:after="120" w:line="320"/>
      </w:pPr>
      <w:r>
        <w:t xml:space="preserve">R2. Was there anything today that you found confusing, unclear or difficult? If so, what?</w:t>
      </w:r>
    </w:p>
    <w:p>
      <w:pPr>
        <w:spacing w:after="120" w:line="320"/>
      </w:pPr>
      <w:r>
        <w:t xml:space="preserve">[Open text]</w:t>
      </w:r>
    </w:p>
    <w:p>
      <w:pPr>
        <w:spacing w:after="120" w:line="320"/>
      </w:pPr>
      <w:r>
        <w:t xml:space="preserve">R3. How did you find the game elements today, for example the simulation rounds, the team competition, or the scoring? What worked well, and what did not?</w:t>
      </w:r>
    </w:p>
    <w:p>
      <w:pPr>
        <w:spacing w:after="120" w:line="320"/>
      </w:pPr>
      <w:r>
        <w:t xml:space="preserve">[Open text]</w:t>
      </w:r>
    </w:p>
    <w:p>
      <w:pPr>
        <w:spacing w:after="120" w:line="320"/>
      </w:pPr>
      <w:r>
        <w:t xml:space="preserve">Day 4 only:</w:t>
      </w:r>
    </w:p>
    <w:p>
      <w:pPr>
        <w:spacing w:after="120" w:line="320"/>
      </w:pPr>
      <w:r>
        <w:t xml:space="preserve">R4. Looking back across the whole programme, what stands out most, and what would you change before the next group goes through it?</w:t>
      </w:r>
    </w:p>
    <w:p>
      <w:pPr>
        <w:spacing w:after="120" w:line="320"/>
      </w:pPr>
      <w:r>
        <w:t xml:space="preserve">[Open text]</w:t>
      </w:r>
    </w:p>
    <w:p>
      <w:pPr>
        <w:spacing w:after="120" w:line="320"/>
      </w:pPr>
      <w:r>
        <w:t xml:space="preserve">---</w:t>
      </w:r>
    </w:p>
    <w:p>
      <w:pPr>
        <w:spacing w:after="120" w:line="320"/>
      </w:pPr>
      <w:r>
        <w:t xml:space="preserve">A.4 Post-Training Evaluation</w:t>
      </w:r>
    </w:p>
    <w:p>
      <w:pPr>
        <w:spacing w:after="120" w:line="320"/>
      </w:pPr>
      <w:r>
        <w:t xml:space="preserve">End of Day 4, after all training activities. About ten minutes.</w:t>
      </w:r>
    </w:p>
    <w:p>
      <w:pPr>
        <w:spacing w:after="120" w:line="320"/>
      </w:pPr>
      <w:r>
        <w:t xml:space="preserve">A reminder: taking part remains voluntary, and your responses are anonymous.</w:t>
      </w:r>
    </w:p>
    <w:p>
      <w:pPr>
        <w:spacing w:after="120" w:line="320"/>
      </w:pPr>
      <w:r>
        <w:t xml:space="preserve">Please rate each statement from 1 (strongly disagree) to 5 (strongly agree).</w:t>
      </w:r>
    </w:p>
    <w:p>
      <w:pPr>
        <w:spacing w:after="120" w:line="320"/>
      </w:pPr>
      <w:r>
        <w:t xml:space="preserve">Section A: Content and design quality</w:t>
      </w:r>
    </w:p>
    <w:p>
      <w:pPr>
        <w:spacing w:after="120" w:line="320"/>
      </w:pPr>
      <w:r>
        <w:t xml:space="preserve">• A1. The training content was relevant to my work</w:t>
      </w:r>
    </w:p>
    <w:p>
      <w:pPr>
        <w:spacing w:after="120" w:line="320"/>
      </w:pPr>
      <w:r>
        <w:t xml:space="preserve">• A2. The presentations were clear and well structured</w:t>
      </w:r>
    </w:p>
    <w:p>
      <w:pPr>
        <w:spacing w:after="120" w:line="320"/>
      </w:pPr>
      <w:r>
        <w:t xml:space="preserve">• A3. The exercises and case studies helped me understand the concepts</w:t>
      </w:r>
    </w:p>
    <w:p>
      <w:pPr>
        <w:spacing w:after="120" w:line="320"/>
      </w:pPr>
      <w:r>
        <w:t xml:space="preserve">• A4. The training materials were professional and easy to follow</w:t>
      </w:r>
    </w:p>
    <w:p>
      <w:pPr>
        <w:spacing w:after="120" w:line="320"/>
      </w:pPr>
      <w:r>
        <w:t xml:space="preserve">• A5. The level of difficulty was appropriate for my background</w:t>
      </w:r>
    </w:p>
    <w:p>
      <w:pPr>
        <w:spacing w:after="120" w:line="320"/>
      </w:pPr>
      <w:r>
        <w:t xml:space="preserve">Section B: Gamification and simulation experience</w:t>
      </w:r>
    </w:p>
    <w:p>
      <w:pPr>
        <w:spacing w:after="120" w:line="320"/>
      </w:pPr>
      <w:r>
        <w:t xml:space="preserve">• B1. The financial simulation made learning more engaging</w:t>
      </w:r>
    </w:p>
    <w:p>
      <w:pPr>
        <w:spacing w:after="120" w:line="320"/>
      </w:pPr>
      <w:r>
        <w:t xml:space="preserve">• B2. The team competition motivated me to take part actively</w:t>
      </w:r>
    </w:p>
    <w:p>
      <w:pPr>
        <w:spacing w:after="120" w:line="320"/>
      </w:pPr>
      <w:r>
        <w:t xml:space="preserve">• B3. The simulation helped me understand the impact of financial decisions</w:t>
      </w:r>
    </w:p>
    <w:p>
      <w:pPr>
        <w:spacing w:after="120" w:line="320"/>
      </w:pPr>
      <w:r>
        <w:t xml:space="preserve">• B4. The three-round structure allowed me to learn from previous decisions</w:t>
      </w:r>
    </w:p>
    <w:p>
      <w:pPr>
        <w:spacing w:after="120" w:line="320"/>
      </w:pPr>
      <w:r>
        <w:t xml:space="preserve">• B5. I would recommend this type of gamified learning to colleagues</w:t>
      </w:r>
    </w:p>
    <w:p>
      <w:pPr>
        <w:spacing w:after="120" w:line="320"/>
      </w:pPr>
      <w:r>
        <w:t xml:space="preserve">Section C: Overall effectiveness</w:t>
      </w:r>
    </w:p>
    <w:p>
      <w:pPr>
        <w:spacing w:after="120" w:line="320"/>
      </w:pPr>
      <w:r>
        <w:t xml:space="preserve">• C1. I feel more confident about financial concepts after this training</w:t>
      </w:r>
    </w:p>
    <w:p>
      <w:pPr>
        <w:spacing w:after="120" w:line="320"/>
      </w:pPr>
      <w:r>
        <w:t xml:space="preserve">• C2. I can apply what I learned to my daily work</w:t>
      </w:r>
    </w:p>
    <w:p>
      <w:pPr>
        <w:spacing w:after="120" w:line="320"/>
      </w:pPr>
      <w:r>
        <w:t xml:space="preserve">• C3. This training was more effective than other training I have attended</w:t>
      </w:r>
    </w:p>
    <w:p>
      <w:pPr>
        <w:spacing w:after="120" w:line="320"/>
      </w:pPr>
      <w:r>
        <w:t xml:space="preserve">• C4. The overall quality of this training programme was high</w:t>
      </w:r>
    </w:p>
    <w:p>
      <w:pPr>
        <w:spacing w:after="120" w:line="320"/>
      </w:pPr>
      <w:r>
        <w:t xml:space="preserve">Section D: In your own words</w:t>
      </w:r>
    </w:p>
    <w:p>
      <w:pPr>
        <w:spacing w:after="120" w:line="320"/>
      </w:pPr>
      <w:r>
        <w:t xml:space="preserve">D1. What was the most valuable aspect of this programme for you?</w:t>
      </w:r>
    </w:p>
    <w:p>
      <w:pPr>
        <w:spacing w:after="120" w:line="320"/>
      </w:pPr>
      <w:r>
        <w:t xml:space="preserve">[Open text]</w:t>
      </w:r>
    </w:p>
    <w:p>
      <w:pPr>
        <w:spacing w:after="120" w:line="320"/>
      </w:pPr>
      <w:r>
        <w:t xml:space="preserve">D2. What would you change or improve?</w:t>
      </w:r>
    </w:p>
    <w:p>
      <w:pPr>
        <w:spacing w:after="120" w:line="320"/>
      </w:pPr>
      <w:r>
        <w:t xml:space="preserve">[Open text]</w:t>
      </w:r>
    </w:p>
    <w:p>
      <w:pPr>
        <w:spacing w:after="120" w:line="320"/>
      </w:pPr>
      <w:r>
        <w:t xml:space="preserve">D3. How likely are you to use what you learned in your role? Please explain.</w:t>
      </w:r>
    </w:p>
    <w:p>
      <w:pPr>
        <w:spacing w:after="120" w:line="320"/>
      </w:pPr>
      <w:r>
        <w:t xml:space="preserve">[Open text]</w:t>
      </w:r>
    </w:p>
    <w:p>
      <w:pPr>
        <w:spacing w:after="120" w:line="320"/>
      </w:pPr>
      <w:r>
        <w:t xml:space="preserve">D4. Any other comments?</w:t>
      </w:r>
    </w:p>
    <w:p>
      <w:pPr>
        <w:spacing w:after="120" w:line="320"/>
      </w:pPr>
      <w:r>
        <w:t xml:space="preserve">[Open text]</w:t>
      </w:r>
    </w:p>
    <w:p>
      <w:pPr>
        <w:spacing w:after="120" w:line="320"/>
      </w:pPr>
      <w:r>
        <w:t xml:space="preserve">Thank you for your time and your thoughtful responses.</w:t>
      </w:r>
    </w:p>
    <w:p>
      <w:pPr>
        <w:spacing w:after="120" w:line="320"/>
      </w:pPr>
      <w:r>
        <w:t xml:space="preserve">---</w:t>
      </w:r>
    </w:p>
    <w:p>
      <w:pPr>
        <w:pStyle w:val="Heading1"/>
        <w:spacing w:after="120" w:before="260"/>
      </w:pPr>
      <w:r>
        <w:t xml:space="preserve">12. Annex B: The semi-structured interview guide, verbatim</w:t>
      </w:r>
    </w:p>
    <w:p>
      <w:pPr>
        <w:spacing w:after="120" w:line="320"/>
      </w:pPr>
      <w:r>
        <w:t xml:space="preserve">Semi-structured interview guide for trainers, subject-matter experts, and learning-and-development managers. Two interviews use this guide in Cycle 1 (Section 3), the remainder in Cycle 2. Duration approximately 30 minutes. The guide is role-split in use: every participant is asked the opening and closing questions, while questions 3 to 6 are put to trainers and subject-matter experts and questions 7 to 9 to learning-and-development managers, so that a single interview covers eight or nine questions rather than all twelve. The interviewer opens by restating the study’s purpose and confirming written informed consent, and reminds the participant that the interview is not audio-recorded and is captured in written notes, that responses are treated confidentially and pseudonymised at write-up (Section 6A), that the write-up is returned to them for confirmation before use, and that withdrawal is open up to the start of analysis. Probes in parentheses are used flexibly and sparingly given the duration; the guide is a scaffold, not a script.</w:t>
      </w:r>
    </w:p>
    <w:p>
      <w:pPr>
        <w:spacing w:after="120" w:line="320"/>
      </w:pPr>
      <w:r>
        <w:t xml:space="preserve">Opening (all participants)</w:t>
      </w:r>
    </w:p>
    <w:p>
      <w:pPr>
        <w:spacing w:after="120" w:line="320"/>
      </w:pPr>
      <w:r>
        <w:t xml:space="preserve">• 1. Please describe your role and your experience with finance training in your organization.</w:t>
      </w:r>
    </w:p>
    <w:p>
      <w:pPr>
        <w:spacing w:after="120" w:line="320"/>
      </w:pPr>
      <w:r>
        <w:t xml:space="preserve">• 2. How were you involved with this program, as a deliverer, adapter, or decision-maker?</w:t>
      </w:r>
    </w:p>
    <w:p>
      <w:pPr>
        <w:spacing w:after="120" w:line="320"/>
      </w:pPr>
      <w:r>
        <w:t xml:space="preserve">AI-designed artifacts and the design partnership (trainers and SMEs)</w:t>
      </w:r>
    </w:p>
    <w:p>
      <w:pPr>
        <w:spacing w:after="120" w:line="320"/>
      </w:pPr>
      <w:r>
        <w:t xml:space="preserve">• 3. Walk me through how you used the AI-designed materials in your delivery. What did you keep exactly as designed, what did you adapt, and what did you overrule entirely? What made an AI suggestion trustworthy, or not?</w:t>
      </w:r>
    </w:p>
    <w:p>
      <w:pPr>
        <w:spacing w:after="120" w:line="320"/>
      </w:pPr>
      <w:r>
        <w:t xml:space="preserve">• 4. Component by component (presentations, instructor manual, case studies, workshops, assessments), where did the materials help you most, and where did they hinder you? What did you change after your first delivery, and why?</w:t>
      </w:r>
    </w:p>
    <w:p>
      <w:pPr>
        <w:spacing w:after="120" w:line="320"/>
      </w:pPr>
      <w:r>
        <w:t xml:space="preserve">• 5. Compared with materials you have built yourself, or received from human designers, how do these differ in quality, coherence, and relevance to your learners?</w:t>
      </w:r>
    </w:p>
    <w:p>
      <w:pPr>
        <w:spacing w:after="120" w:line="320"/>
      </w:pPr>
      <w:r>
        <w:t xml:space="preserve">• 6. Tell me about one classroom moment where an AI-designed element clearly worked, and one where it clearly failed. What happened?</w:t>
      </w:r>
    </w:p>
    <w:p>
      <w:pPr>
        <w:spacing w:after="120" w:line="320"/>
      </w:pPr>
      <w:r>
        <w:t xml:space="preserve">Adoption and governance (learning-and-development managers)</w:t>
      </w:r>
    </w:p>
    <w:p>
      <w:pPr>
        <w:spacing w:after="120" w:line="320"/>
      </w:pPr>
      <w:r>
        <w:t xml:space="preserve">• 7. What would it take for your organization to adopt AI-designed training at scale? (Probe: perceived usefulness, ease of integration, management support, budget, existing vendor arrangements.)</w:t>
      </w:r>
    </w:p>
    <w:p>
      <w:pPr>
        <w:spacing w:after="120" w:line="320"/>
      </w:pPr>
      <w:r>
        <w:t xml:space="preserve">• 8. Who would need to approve such adoption, and what concerns would they raise? (Probe: quality assurance, accountability for errors, data protection and PDPL, organizational reputation.)</w:t>
      </w:r>
    </w:p>
    <w:p>
      <w:pPr>
        <w:spacing w:after="120" w:line="320"/>
      </w:pPr>
      <w:r>
        <w:t xml:space="preserve">• 9. What disclosure do you expect about AI’s role in producing training your staff receive, and who should be accountable for the content?</w:t>
      </w:r>
    </w:p>
    <w:p>
      <w:pPr>
        <w:spacing w:after="120" w:line="320"/>
      </w:pPr>
      <w:r>
        <w:t xml:space="preserve">Perceived outcomes and closing (all participants)</w:t>
      </w:r>
    </w:p>
    <w:p>
      <w:pPr>
        <w:spacing w:after="120" w:line="320"/>
      </w:pPr>
      <w:r>
        <w:t xml:space="preserve">• 10. What changes, in knowledge, confidence, or workplace behavior, have you observed in participants after the program? What evidence would convince you that it builds financial competence?</w:t>
      </w:r>
    </w:p>
    <w:p>
      <w:pPr>
        <w:spacing w:after="120" w:line="320"/>
      </w:pPr>
      <w:r>
        <w:t xml:space="preserve">• 11. If you could change one thing about the program, or about how AI is used in designing it, what would it be?</w:t>
      </w:r>
    </w:p>
    <w:p>
      <w:pPr>
        <w:spacing w:after="120" w:line="320"/>
      </w:pPr>
      <w:r>
        <w:t xml:space="preserve">• 12. Is there anything important we have not talked about?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60"/>
      <w:outlineLvl w:val="0"/>
    </w:pPr>
    <w:rPr>
      <w:rFonts w:ascii="Times New Roman" w:cs="Times New Roman" w:eastAsia="Times New Roman" w:hAnsi="Times New Roman"/>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and Data Management Plan v2.0</dc:title>
  <dc:creator>Aiman S. Sadeq</dc:creator>
  <cp:lastModifiedBy>Un-named</cp:lastModifiedBy>
  <cp:revision>1</cp:revision>
  <dcterms:created xsi:type="dcterms:W3CDTF">2026-09-15T17:49:32.228Z</dcterms:created>
  <dcterms:modified xsi:type="dcterms:W3CDTF">2026-09-15T17:49:32.228Z</dcterms:modified>
</cp:coreProperties>
</file>

<file path=docProps/custom.xml><?xml version="1.0" encoding="utf-8"?>
<Properties xmlns="http://schemas.openxmlformats.org/officeDocument/2006/custom-properties" xmlns:vt="http://schemas.openxmlformats.org/officeDocument/2006/docPropsVTypes"/>
</file>