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RESEARCH PROTOCOL AND DATA MANAGEMENT PLAN</w:t>
      </w:r>
    </w:p>
    <w:p>
      <w:pPr>
        <w:spacing w:after="120" w:line="320"/>
        <w:jc w:val="center"/>
      </w:pPr>
      <w:r>
        <w:rPr>
          <w:i/>
          <w:iCs/>
        </w:rPr>
        <w:t xml:space="preserve">Leveraging Artificial Intelligence for Financial Competence Development: A Design-Based Research Study of AI-Assisted Training Design, Gamification, and Organizational Outcomes</w:t>
      </w:r>
    </w:p>
    <w:p>
      <w:pPr>
        <w:spacing w:after="60" w:line="300"/>
        <w:jc w:val="center"/>
      </w:pPr>
      <w:r>
        <w:rPr>
          <w:sz w:val="20"/>
          <w:szCs w:val="20"/>
        </w:rPr>
        <w:t xml:space="preserve">Candidate: Aiman S. Sadeq · Supervisor: Professor Emanuele Borgonovo · Doctorate in Business Administration, SDA Bocconi School of Management</w:t>
      </w:r>
    </w:p>
    <w:p>
      <w:pPr>
        <w:spacing w:after="60" w:line="300"/>
        <w:jc w:val="center"/>
      </w:pPr>
      <w:r>
        <w:rPr>
          <w:sz w:val="20"/>
          <w:szCs w:val="20"/>
        </w:rPr>
        <w:t>Version 1.7 · September 2026 · Status: revised in response to Ethics Committee pre-screening of application EA001257</w:t>
      </w:r>
    </w:p>
    <w:p>
      <w:pPr>
        <w:spacing w:after="260" w:line="300"/>
        <w:jc w:val="center"/>
      </w:pPr>
      <w:r>
        <w:rPr>
          <w:i/>
          <w:iCs/>
          <w:sz w:val="20"/>
          <w:szCs w:val="20"/>
        </w:rPr>
        <w:t>Supersedes version 1.6. Changes from 1.6 are summarised in Section 10, together with the earlier change logs.</w:t>
      </w:r>
    </w:p>
    <w:p>
      <w:pPr>
        <w:pStyle w:val="Heading1"/>
        <w:spacing w:after="120" w:before="260"/>
      </w:pPr>
      <w:r>
        <w:t xml:space="preserve">1. Purpose and research questions</w:t>
      </w:r>
    </w:p>
    <w:p>
      <w:pPr>
        <w:spacing w:after="120" w:line="320"/>
      </w:pPr>
      <w:r>
        <w:t xml:space="preserve">The study investigates how generative AI can be leveraged to develop financial competence in organizations, and what design principles govern effective AI-assisted finance training. Five research questions address: (RQ1) the role of AI in producing training artifacts and the effect of AI-human collaboration on their quality; (RQ2) how AI-designed gamification and simulation mechanics influence professionals’ engagement with financial decision-making; (RQ3) the organizational and individual factors that enable or constrain adoption; (RQ4) the extent to which AI-assisted training contributes to perceived financial competence; and (RQ5) the governance principles that should guide responsible use of AI in training design for regulated environments.</w:t>
      </w:r>
    </w:p>
    <w:p>
      <w:pPr>
        <w:pStyle w:val="Heading1"/>
        <w:spacing w:after="120" w:before="260"/>
      </w:pPr>
      <w:r>
        <w:t xml:space="preserve">2. Design summary</w:t>
      </w:r>
    </w:p>
    <w:p>
      <w:pPr>
        <w:spacing w:after="120" w:line="320"/>
      </w:pPr>
      <w:r>
        <w:t xml:space="preserve">Two-cycle Design-Based Research (DBR); qualitative core (Reflexive Thematic Analysis; Framework Method) with bounded descriptive statistics.</w:t>
      </w:r>
    </w:p>
    <w:p>
      <w:pPr>
        <w:spacing w:after="120" w:line="320"/>
      </w:pPr>
      <w:r>
        <w:t xml:space="preserve">Cycle 1 comprises up to four cohorts of the same finance-for-non-finance programme, at three client organizations, and they are not identical in length or in who delivers them.</w:t>
      </w:r>
    </w:p>
    <w:p>
      <w:pPr>
        <w:spacing w:after="80" w:line="320"/>
        <w:ind w:left="340" w:hanging="170"/>
      </w:pPr>
      <w:r>
        <w:t xml:space="preserve">• </w:t>
      </w:r>
      <w:r>
        <w:t xml:space="preserve">Cohort 1A: approximately 25 adult professionals at a large Saudi technology company, four days, 6 to 9 September 2026, facilitated by a professional colleague of the candidate (Section 6).</w:t>
      </w:r>
    </w:p>
    <w:p>
      <w:pPr>
        <w:spacing w:after="80" w:line="320"/>
        <w:ind w:left="340" w:hanging="170"/>
      </w:pPr>
      <w:r>
        <w:t xml:space="preserve">• </w:t>
      </w:r>
      <w:r>
        <w:t xml:space="preserve">Cohorts 1B and 1C: two groups at a second Saudi organization, three days each, originally scheduled for 6 to 8 and 13 to 15 September 2026 and postponed by the client by an expected two to three weeks, facilitated by the same colleague. Research participation at this organization is subject to the client authorisation described in Section 7 and is not assumed here.</w:t>
      </w:r>
    </w:p>
    <w:p>
      <w:pPr>
        <w:spacing w:after="80" w:line="320"/>
        <w:ind w:left="340" w:hanging="170"/>
      </w:pPr>
      <w:r>
        <w:t xml:space="preserve">• </w:t>
      </w:r>
      <w:r>
        <w:t xml:space="preserve">Cohort 1D: a third client organization in October 2026, not yet confirmed.</w:t>
      </w:r>
    </w:p>
    <w:p>
      <w:pPr>
        <w:spacing w:after="120" w:line="320"/>
      </w:pPr>
      <w:r>
        <w:t xml:space="preserve">Each cohort is served by its own instance of the instrument platform, so that cohorts running close together or overlapping remain fully separated. Each instance stamps its own cohort label, and every count, export and deletion is scoped to the cohort that performed it, so no cohort can read or delete another’s records.</w:t>
      </w:r>
    </w:p>
    <w:p>
      <w:pPr>
        <w:spacing w:after="120" w:line="320"/>
      </w:pPr>
      <w:r>
        <w:t xml:space="preserve">The multi-cohort structure gives Cycle 1 an internal iteration: what the first cohorts reveal about the instruments and the training materials can be acted upon and re-tested inside the cycle rather than deferred to Cycle 2. The variation in programme length and in organization is treated as informative rather than as noise; the facilitator is constant across the cohorts and is not the candidate, and Section 6 sets out what that does to the dual-role limitation.</w:t>
      </w:r>
    </w:p>
    <w:p>
      <w:pPr>
        <w:spacing w:after="120" w:line="320"/>
      </w:pPr>
      <w:r>
        <w:t>Cycle 2 (2026 to 2027) deploys systematically refined materials across multiple organizations with interviews, focus groups, and observation. The institutional ethics procedure was completed ahead of Cycle 1: the university’s research-ethics course, the institutional Consent Form prepared through the Bocconi ethics portal, and the committee’s self-assessment checklist, on which the project flags no critical element. The project was nonetheless submitted to the Bocconi Research Ethics Committee as application EA001257, and this protocol is revised in response to the committee’s pre-screening. The assessment is revisited, and a further submission made if required, before Cycle 2’s multi-organization fieldwork.</w:t>
      </w:r>
    </w:p>
    <w:p>
      <w:pPr>
        <w:pStyle w:val="Heading1"/>
        <w:spacing w:after="120" w:before="260"/>
      </w:pPr>
      <w:r>
        <w:t xml:space="preserve">3. Participants and recruitment</w:t>
      </w:r>
    </w:p>
    <w:p>
      <w:pPr>
        <w:spacing w:after="120" w:line="320"/>
      </w:pPr>
      <w:r>
        <w:t xml:space="preserve">Population: adult professionals (non-finance backgrounds) attending a finance-for-non-finance corporate training programme arranged by their employer.</w:t>
      </w:r>
    </w:p>
    <w:p>
      <w:pPr>
        <w:spacing w:after="120" w:line="320"/>
      </w:pPr>
      <w:r>
        <w:t xml:space="preserve">The employer arranges attendance at the TRAINING; participation in the RESEARCH (completing instruments) is individually voluntary. Declining carries no employment consequence, and the consent materials state this explicitly.</w:t>
      </w:r>
    </w:p>
    <w:p>
      <w:pPr>
        <w:spacing w:after="120" w:line="320"/>
      </w:pPr>
      <w:r>
        <w:t xml:space="preserve">A second and much smaller participant group joins in Cycle 1: practitioners, interviewed rather than surveyed. Two interviews are conducted after the Cycle 1 deliveries conclude, one with the colleague who facilitates the cohorts and one with the training contact at a client organization. They exist because the learner instruments cannot reach two of the three design-principle families the study refines: learners do not observe how design work was divided between the AI and the human experts, and they do not hold the organizational adoption decision.</w:t>
      </w:r>
    </w:p>
    <w:p>
      <w:pPr>
        <w:spacing w:after="120" w:line="320"/>
      </w:pPr>
      <w:r>
        <w:t xml:space="preserve">These two groups are governed differently and the difference is fundamental rather than procedural. Learners are anonymous at source and cannot be re-identified by anyone, including the candidate. Interview participants are known to the candidate by name, because an interview cannot be otherwise. Everything in Sections 5 to 7 that refers to anonymity applies to the learner instruments; the interview provisions are stated separately and are weaker by necessity, resting on consent, pseudonymization and access control rather than on the absence of identifiers.</w:t>
      </w:r>
    </w:p>
    <w:p>
      <w:pPr>
        <w:spacing w:after="120" w:line="320"/>
      </w:pPr>
      <w:r>
        <w:t xml:space="preserve">Recruitment for the interviews is direct and personal, which is itself a risk addressed in Section 8: one participant is a professional colleague and the other is a client. Neither is recruited through an employer, and neither participates as a condition of any commercial or working arrangement.</w:t>
      </w:r>
    </w:p>
    <w:p>
      <w:pPr>
        <w:spacing w:after="120" w:line="320"/>
      </w:pPr>
      <w:r>
        <w:t xml:space="preserve">No vulnerable groups; no minors.</w:t>
      </w:r>
    </w:p>
    <w:p>
      <w:pPr>
        <w:pStyle w:val="Heading1"/>
        <w:spacing w:after="120" w:before="260"/>
      </w:pPr>
      <w:r>
        <w:t xml:space="preserve">4. Instruments and mode of collection</w:t>
      </w:r>
    </w:p>
    <w:p>
      <w:pPr>
        <w:spacing w:after="120" w:line="320"/>
      </w:pPr>
      <w:r>
        <w:t xml:space="preserve">Four instruments, bilingual in English and Arabic:</w:t>
      </w:r>
    </w:p>
    <w:p>
      <w:pPr>
        <w:spacing w:after="80" w:line="320"/>
        <w:ind w:left="340" w:hanging="170"/>
      </w:pPr>
      <w:r>
        <w:t xml:space="preserve">• </w:t>
      </w:r>
      <w:r>
        <w:t xml:space="preserve">Consent and Briefing Sheet: research context, supervisor, voluntariness, anonymity, right to withdraw.</w:t>
      </w:r>
    </w:p>
    <w:p>
      <w:pPr>
        <w:spacing w:after="80" w:line="320"/>
        <w:ind w:left="340" w:hanging="170"/>
      </w:pPr>
      <w:r>
        <w:t xml:space="preserve">• </w:t>
      </w:r>
      <w:r>
        <w:t xml:space="preserve">Pre-Training Questionnaire: demographics, prior finance knowledge, expectations (Day 1, before content).</w:t>
      </w:r>
    </w:p>
    <w:p>
      <w:pPr>
        <w:spacing w:after="80" w:line="320"/>
        <w:ind w:left="340" w:hanging="170"/>
      </w:pPr>
      <w:r>
        <w:t xml:space="preserve">• </w:t>
      </w:r>
      <w:r>
        <w:t xml:space="preserve">Daily Reflection Cards, one per training day: three open questions per day; the final day adds one cross-programme question.</w:t>
      </w:r>
    </w:p>
    <w:p>
      <w:pPr>
        <w:spacing w:after="80" w:line="320"/>
        <w:ind w:left="340" w:hanging="170"/>
      </w:pPr>
      <w:r>
        <w:t xml:space="preserve">• </w:t>
      </w:r>
      <w:r>
        <w:t xml:space="preserve">Post-Training Evaluation: Kirkpatrick Levels 1 and 2, design-quality perceptions, gamification experience (Day 4).</w:t>
      </w:r>
    </w:p>
    <w:p>
      <w:pPr>
        <w:spacing w:after="120" w:line="320"/>
      </w:pPr>
      <w:r>
        <w:t xml:space="preserve">Mode of collection. Instruments are delivered as web forms and completed by participants on their own or on provided devices. Access is by a short URL and QR code displayed in the room at the relevant point in the programme. There is no login, no account, and no invitation by email or name, so no participant list or contact record is created at any stage.</w:t>
      </w:r>
    </w:p>
    <w:p>
      <w:pPr>
        <w:spacing w:after="120" w:line="320"/>
      </w:pPr>
      <w:r>
        <w:t xml:space="preserve">The instrument layer is deliberately separate from the FinPlay training platform. Participants log in to FinPlay to take part in the training; they do not log in to complete research instruments. The two systems are not connected, and no FinPlay identity, session, or telemetry is associated with any instrument response.</w:t>
      </w:r>
    </w:p>
    <w:p>
      <w:pPr>
        <w:spacing w:after="120" w:line="320"/>
      </w:pPr>
      <w:r>
        <w:t xml:space="preserve">Programme length. The instruments are written for a four-day programme and that text is canonical. Where a cohort runs a different number of days, the instruments are served with the day count substituted and nothing else altered: the programme length in the briefing, the day the final evaluation falls on, the range in the daily reflection title, the number of options in the day selector, and the day that carries the cross-programme question. Part 5 of Research Instruments v2.1 specifies the substitution in both languages. No item wording, response option or ordering varies with length. Each stored reflection records how many days its programme ran, and the database will not accept the cross-programme question on any day but the last of them.</w:t>
      </w:r>
    </w:p>
    <w:p>
      <w:pPr>
        <w:spacing w:after="120" w:line="320"/>
      </w:pPr>
      <w:r>
        <w:t xml:space="preserve">Paper versions of every instrument are printed and carried to each session as an operational fallback (Section 8), matched to that cohort’s programme length. If the fallback is used, completed sheets are placed unfolded and unmarked into a collection box which is sealed in the room before it leaves, as described in the facilitator run sheet, and the substitution is recorded in the deviations log. This supersedes the sealed-envelope-per-participant procedure of version 1.0: an envelope for each person reintroduces exactly the per-person object the design exists to avoid.</w:t>
      </w:r>
    </w:p>
    <w:p>
      <w:pPr>
        <w:spacing w:after="120" w:line="320"/>
      </w:pPr>
      <w:r>
        <w:t xml:space="preserve">All instruments are anonymous by design: no names, employee numbers, or other identifiers are collected anywhere.</w:t>
      </w:r>
    </w:p>
    <w:p>
      <w:pPr>
        <w:spacing w:after="120" w:line="320"/>
      </w:pPr>
      <w:r>
        <w:t xml:space="preserve">A fifth instrument sits outside this set and is not delivered on a screen: a semi-structured interview guide for practitioners, used twice in Cycle 1 and more widely in Cycle 2. It is reproduced in the proposal as an appendix. It is not bilingual by design, because it is used with individuals whose working language is known in advance and agreed with them beforehand.</w:t>
      </w:r>
    </w:p>
    <w:p>
      <w:pPr>
        <w:pStyle w:val="Heading1"/>
        <w:spacing w:after="120" w:before="260"/>
      </w:pPr>
      <w:r>
        <w:t xml:space="preserve">5. Consent procedure</w:t>
      </w:r>
    </w:p>
    <w:p>
      <w:pPr>
        <w:spacing w:after="120" w:line="320"/>
      </w:pPr>
      <w:r>
        <w:t xml:space="preserve">On Day 1, before any teaching content, the facilitator reads a standardized briefing identifying the doctoral research, the university and supervisor, the voluntary character of participation, and the anonymity guarantee. Participants receive a printed information page to keep. This page is given to participants and nothing is collected from it.</w:t>
      </w:r>
    </w:p>
    <w:p>
      <w:pPr>
        <w:spacing w:after="120" w:line="320"/>
      </w:pPr>
      <w:r>
        <w:t xml:space="preserve">Participants then open the consent screen. It presents two options with equal prominence: to take part, or not to take part. Both options are submitted in the same way, and both return the same closing screen, so that every person in the room performs the same visible sequence of actions on their device.</w:t>
      </w:r>
    </w:p>
    <w:p>
      <w:pPr>
        <w:spacing w:after="120" w:line="320"/>
      </w:pPr>
      <w:r>
        <w:t xml:space="preserve">Those who decline are not prompted again: the confirmation screen is terminal and identical for both choices, and no instrument links to another. Each instrument is opened only from the link displayed in the room at the relevant moment, which a declining participant simply does not open. This is stated in these terms deliberately. Suppressing later instruments on a declining participant’s own device would require recognising that device on a subsequent visit, by cookie, stored value, URL token or fingerprint, every one of which Section 6 forbids. The protocol therefore claims what the design delivers: the software prompts nobody.</w:t>
      </w:r>
    </w:p>
    <w:p>
      <w:pPr>
        <w:spacing w:after="120" w:line="320"/>
      </w:pPr>
      <w:r>
        <w:t xml:space="preserve">Consent covers all instruments across all training days. Each instrument completed after the Day 1 briefing opens with a one-line reminder that participation remains voluntary; version 2.0 of the instruments omitted this from the pre-training questionnaire and version 2.1 corrects it. Withdrawal is exercised simply by not submitting a subsequent instrument.</w:t>
      </w:r>
    </w:p>
    <w:p>
      <w:pPr>
        <w:spacing w:after="120" w:line="320"/>
      </w:pPr>
      <w:r>
        <w:rPr>
          <w:b/>
          <w:bCs/>
        </w:rPr>
        <w:t xml:space="preserve">One honest difference from version 1.0.</w:t>
      </w:r>
      <w:r>
        <w:t xml:space="preserve"> Under the paper procedure a declining participant returned a blank form that was physically indistinguishable from a completed one, so no record of declining existed at all. Under the online procedure a decline is recorded as an anonymous count. It cannot be attributed to any individual, because no identifiers, IP addresses, or session data are held. The practical effect is that declining remains invisible to the facilitator and to the employer, while the study gains an accurate participation rate. This is judged an acceptable and arguably favourable exchange, but it is a change and is recorded as one.</w:t>
      </w:r>
    </w:p>
    <w:p>
      <w:pPr>
        <w:pStyle w:val="Heading1"/>
        <w:spacing w:after="120" w:before="260"/>
      </w:pPr>
      <w:r>
        <w:t xml:space="preserve">6. Anonymity and the facilitator-researcher dual role</w:t>
      </w:r>
    </w:p>
    <w:p>
      <w:pPr>
        <w:spacing w:after="120" w:line="320"/>
      </w:pPr>
      <w:r>
        <w:t xml:space="preserve">This section governs the learner instruments. The interview strand is not anonymous and is governed by Section 6A.</w:t>
      </w:r>
    </w:p>
    <w:p>
      <w:pPr>
        <w:spacing w:after="120" w:line="320"/>
      </w:pPr>
      <w:r>
        <w:t xml:space="preserve">As of version 1.5, the candidate delivers none of the Cycle 1 cohorts. A professional colleague delivers all of them, working from the same scripted run sheet and delivery checklist, and the candidate neither facilitates nor observes any cohort and is not present in the room. The facilitator-researcher dual role is therefore absent from data generation rather than mitigated: no participant meets the person who designed the materials under evaluation. The controls below apply unchanged, because they are properties of the instruments rather than of who is standing at the front. What the arrangement forecloses is a within-cycle comparison of delivery with and without the designer present; that comparison passes to Cycle 2.</w:t>
      </w:r>
    </w:p>
    <w:p>
      <w:pPr>
        <w:spacing w:after="120" w:line="320"/>
      </w:pPr>
      <w:r>
        <w:t xml:space="preserve">Anonymity is established at source by the following technical and procedural controls:</w:t>
      </w:r>
    </w:p>
    <w:p>
      <w:pPr>
        <w:spacing w:after="80" w:line="320"/>
        <w:ind w:left="340" w:hanging="170"/>
      </w:pPr>
      <w:r>
        <w:t xml:space="preserve">• </w:t>
      </w:r>
      <w:r>
        <w:t xml:space="preserve">No login, no user account, no session token, and no cookie is used by the instrument layer.</w:t>
      </w:r>
    </w:p>
    <w:p>
      <w:pPr>
        <w:spacing w:after="80" w:line="320"/>
        <w:ind w:left="340" w:hanging="170"/>
      </w:pPr>
      <w:r>
        <w:t xml:space="preserve">• </w:t>
      </w:r>
      <w:r>
        <w:t xml:space="preserve">Each submission is written independently. No linkage exists between instruments, between days, or between any instrument and the FinPlay platform.</w:t>
      </w:r>
    </w:p>
    <w:p>
      <w:pPr>
        <w:spacing w:after="80" w:line="320"/>
        <w:ind w:left="340" w:hanging="170"/>
      </w:pPr>
      <w:r>
        <w:t xml:space="preserve">• </w:t>
      </w:r>
      <w:r>
        <w:t xml:space="preserve">No IP address and no user-agent string is retained.</w:t>
      </w:r>
    </w:p>
    <w:p>
      <w:pPr>
        <w:spacing w:after="80" w:line="320"/>
        <w:ind w:left="340" w:hanging="170"/>
      </w:pPr>
      <w:r>
        <w:t xml:space="preserve">• </w:t>
      </w:r>
      <w:r>
        <w:t xml:space="preserve">Submission times are recorded at day-level granularity only. Finer timestamps are not stored, because in a cohort of about 25 completing at the same moment a precise submission time could become deductively identifying when combined with demographic bands.</w:t>
      </w:r>
    </w:p>
    <w:p>
      <w:pPr>
        <w:spacing w:after="80" w:line="320"/>
        <w:ind w:left="340" w:hanging="170"/>
      </w:pPr>
      <w:r>
        <w:t xml:space="preserve">• </w:t>
      </w:r>
      <w:r>
        <w:t xml:space="preserve">Demographic items are categorical and coarse (role band, experience band) for the same reason.</w:t>
      </w:r>
    </w:p>
    <w:p>
      <w:pPr>
        <w:spacing w:after="80" w:line="320"/>
        <w:ind w:left="340" w:hanging="170"/>
      </w:pPr>
      <w:r>
        <w:t xml:space="preserve">• </w:t>
      </w:r>
      <w:r>
        <w:t xml:space="preserve">Instruments are self-administered. The facilitator does not assist with completion, does not observe individual screens, and does not circulate during completion.</w:t>
      </w:r>
    </w:p>
    <w:p>
      <w:pPr>
        <w:spacing w:after="120" w:line="320"/>
      </w:pPr>
      <w:r>
        <w:t xml:space="preserve">The consequence is that the facilitator cannot know who wrote what, and no response can be linked to an individual. The data are anonymous at source, not anonymized afterwards.</w:t>
      </w:r>
    </w:p>
    <w:p>
      <w:pPr>
        <w:spacing w:after="120" w:line="320"/>
      </w:pPr>
      <w:r>
        <w:t xml:space="preserve">The same design necessarily forecloses two things within Cycle 1: responses cannot be joined across the four days for any individual, and no longitudinal follow-up of individuals is possible. Both were accepted deliberately in favour of the anonymity guarantee.</w:t>
      </w:r>
    </w:p>
    <w:p>
      <w:pPr>
        <w:spacing w:after="120" w:line="320"/>
      </w:pPr>
      <w:r>
        <w:t xml:space="preserve">The candidate maintains a reflexivity journal and a deviations log as part of the audit trail, reviewed in supervision.</w:t>
      </w:r>
    </w:p>
    <w:p>
      <w:pPr>
        <w:spacing w:after="120" w:line="320"/>
      </w:pPr>
      <w:r>
        <w:rPr>
          <w:b/>
          <w:bCs/>
        </w:rPr>
        <w:t xml:space="preserve">6A. The interview strand: confidentiality rather than anonymity</w:t>
      </w:r>
    </w:p>
    <w:p>
      <w:pPr>
        <w:spacing w:after="120" w:line="320"/>
      </w:pPr>
      <w:r>
        <w:t xml:space="preserve">An interview cannot be anonymous to the interviewer, and this protocol does not pretend otherwise. What the two interview participants are offered is confidentiality, which is a different and weaker promise, and it is described to them in those terms.</w:t>
      </w:r>
    </w:p>
    <w:p>
      <w:pPr>
        <w:spacing w:after="80" w:line="320"/>
        <w:ind w:left="340" w:hanging="170"/>
      </w:pPr>
      <w:r>
        <w:t xml:space="preserve">• </w:t>
      </w:r>
      <w:r>
        <w:t xml:space="preserve">Consent is written, individual, and taken separately from any commercial or employment relationship. The consent wording states that declining, or withdrawing later, changes neither relationship in any way.</w:t>
      </w:r>
    </w:p>
    <w:p>
      <w:pPr>
        <w:spacing w:after="80" w:line="320"/>
        <w:ind w:left="340" w:hanging="170"/>
      </w:pPr>
      <w:r>
        <w:t xml:space="preserve">• </w:t>
      </w:r>
      <w:r>
        <w:t>Withdrawal is available up to the point at which analysis is written up, and unlike the learner instruments it can be acted upon, because the interview record is identifiable. A withdrawing participant’s material is deleted and excluded.</w:t>
      </w:r>
    </w:p>
    <w:p>
      <w:pPr>
        <w:spacing w:after="80" w:line="320"/>
        <w:ind w:left="340" w:hanging="170"/>
      </w:pPr>
      <w:r>
        <w:t xml:space="preserve">• </w:t>
      </w:r>
      <w:r>
        <w:t>Interviews are not audio-recorded. The interviewer takes written notes during the interview and writes them up immediately afterwards; wording is presented as a verbatim quotation only where it was written down verbatim at the time, and the write-up is returned to the participant for confirmation before use. This supersedes version 1.5, under which recording was the default and notes-only the participant’s option. The change narrows what the protocol already permitted and removes the only identifiable audio in the study.</w:t>
      </w:r>
    </w:p>
    <w:p>
      <w:pPr>
        <w:spacing w:after="80" w:line="320"/>
        <w:ind w:left="340" w:hanging="170"/>
      </w:pPr>
      <w:r>
        <w:t xml:space="preserve">• </w:t>
      </w:r>
      <w:r>
        <w:t>Interview write-ups are pseudonymized at the point of write-up. Names, employer names, client names and identifying incidents are replaced with role labels. The key linking pseudonym to person is held separately from the write-ups and destroyed once analysis is complete.</w:t>
      </w:r>
    </w:p>
    <w:p>
      <w:pPr>
        <w:spacing w:after="80" w:line="320"/>
        <w:ind w:left="340" w:hanging="170"/>
      </w:pPr>
      <w:r>
        <w:t xml:space="preserve">• </w:t>
      </w:r>
      <w:r>
        <w:t xml:space="preserve">Quotations are checked with the speaker before they appear in any output. In a study with one trainer and one training contact, a role label is not concealment: the people concerned will be identifiable to anyone who knows the engagement, and they are told so plainly before consenting rather than reassured otherwise.</w:t>
      </w:r>
    </w:p>
    <w:p>
      <w:pPr>
        <w:spacing w:after="80" w:line="320"/>
        <w:ind w:left="340" w:hanging="170"/>
      </w:pPr>
      <w:r>
        <w:t xml:space="preserve">• </w:t>
      </w:r>
      <w:r>
        <w:t xml:space="preserve">Organizations are not named in the proposal or the thesis without their written permission.</w:t>
      </w:r>
    </w:p>
    <w:p>
      <w:pPr>
        <w:spacing w:after="120" w:line="320"/>
      </w:pPr>
      <w:r>
        <w:t xml:space="preserve">The candidate’s dual role is sharper here than anywhere else in the study. One participant is a colleague who may wish to be supportive; the other is a client who may wish to be positive about a service they buy. Section 8 records what is done about that, and the analysis reports these accounts as testimony from interested parties rather than as neutral evidence.</w:t>
      </w:r>
    </w:p>
    <w:p>
      <w:pPr>
        <w:pStyle w:val="Heading1"/>
        <w:spacing w:after="120" w:before="260"/>
      </w:pPr>
      <w:r>
        <w:t xml:space="preserve">7. Data management plan</w:t>
      </w:r>
    </w:p>
    <w:p>
      <w:pPr>
        <w:spacing w:after="120" w:line="320"/>
      </w:pPr>
      <w:r>
        <w:t xml:space="preserve">Collection. Responses are submitted through the web forms described in Section 4 and written to a hosted database. Submission counts are logged per instrument per day.</w:t>
      </w:r>
    </w:p>
    <w:p>
      <w:pPr>
        <w:spacing w:after="120" w:line="320"/>
      </w:pPr>
      <w:r>
        <w:rPr>
          <w:b/>
          <w:bCs/>
        </w:rPr>
        <w:t xml:space="preserve">Hosting and jurisdiction.</w:t>
      </w:r>
      <w:r>
        <w:t xml:space="preserve"> The application and database are hosted in the United States (Render and Supabase). This is stated plainly rather than smoothed over. No personal data enters the dataset, so the research data itself involves no cross-border transfer of personal data within the meaning of the KSA Personal Data Protection Law.</w:t>
      </w:r>
    </w:p>
    <w:p>
      <w:pPr>
        <w:spacing w:after="120" w:line="320"/>
      </w:pPr>
      <w:r>
        <w:t xml:space="preserve">Connection metadata, principally IP addresses, is processed transiently at the network layer by the hosting infrastructure, as it is for any online instrument including the widely used hosted survey platforms. It is not logged by the application, not stored in the database, and not associated with any response. Participants never connect to the database at all: only the application server holds a database connection, so no participant address can appear in a database log. Any edge logging performed by the hosting provider is outside the study’s control, is not accessible to the researcher, and forms no part of the dataset. Version 1.1 asserted that such metadata was "not logged, not retained" without qualification, which was a claim about a third party that the study cannot evidence; this wording claims only what the design supports.</w:t>
      </w:r>
    </w:p>
    <w:p>
      <w:pPr>
        <w:spacing w:after="120" w:line="320"/>
      </w:pPr>
      <w:r>
        <w:t xml:space="preserve">Client authorisation. Before each cohort, the client organization’s coordinator confirms that completion of externally hosted research forms on the client network or on personal devices is permitted under the organization’s own data policy. Confirmation is recorded in the audit trail.</w:t>
      </w:r>
    </w:p>
    <w:p>
      <w:pPr>
        <w:spacing w:after="120" w:line="320"/>
      </w:pPr>
      <w:r>
        <w:t xml:space="preserve">Export and storage. Responses are exported within 48 hours of the final training day (target 11 September 2026 for Cohort 1). Exports are stored encrypted with access restricted to the candidate. Once an export is verified complete, the source records are deleted from the hosted database, so that no research data remains on third-party infrastructure beyond the period required to collect it.</w:t>
      </w:r>
    </w:p>
    <w:p>
      <w:pPr>
        <w:spacing w:after="120" w:line="320"/>
      </w:pPr>
      <w:r>
        <w:t xml:space="preserve">Analysis records (codes, matrices, memos) reference response IDs only. Each response carries a random identifier generated when the record is written, deliberately random rather than sequential so that it reveals nothing about the order in which people submitted, and carrying no meaning outside the dataset. Version 1.1 described these as generated at export; the property being protected is unchanged, and this states the mechanism as built.</w:t>
      </w:r>
    </w:p>
    <w:p>
      <w:pPr>
        <w:spacing w:after="120" w:line="320"/>
      </w:pPr>
      <w:r>
        <w:t xml:space="preserve">KSA Personal Data Protection Law alignment: data minimization (anonymous by design), purpose limitation (research and programme improvement only, stated in the briefing), security of processing, and the position on cross-border transfer set out above.</w:t>
      </w:r>
    </w:p>
    <w:p>
      <w:pPr>
        <w:spacing w:after="120" w:line="320"/>
      </w:pPr>
      <w:r>
        <w:t xml:space="preserve">No participant responses are entered into generative AI systems. AI tools are used in the research only as documented in the study’s AI-use disclosure, and never with raw participant data.</w:t>
      </w:r>
    </w:p>
    <w:p>
      <w:pPr>
        <w:spacing w:after="120" w:line="320"/>
      </w:pPr>
      <w:r>
        <w:t>This commitment now has a sharper edge, and it is recorded here so it cannot be forgotten in the moment it matters. Interview notes and write-ups are participant responses. No interview audio exists, because interviews are not recorded (Section 6A), so no recording can be uploaded to an automated transcription service; the prohibition on such services is retained because it governs any future cycle in which recording were to be reintroduced, which would require a protocol amendment and the supervisor’s agreement. Write-ups are produced by the candidate by hand. The same prohibition applies to pasting interview text into any AI assistant for coding, summarising or thematic help, at any stage of the analysis. Where such assistance would be useful, either the protocol is amended and the supervisor consulted first, or the work is done without it.</w:t>
      </w:r>
      <w:r>
        <w:rPr>
          <w:b/>
          <w:bCs/>
        </w:rPr>
      </w:r>
      <w:r/>
    </w:p>
    <w:p>
      <w:pPr>
        <w:spacing w:after="120" w:line="320"/>
      </w:pPr>
      <w:r>
        <w:t>Interview data handling. Handwritten notes are kept secured by the candidate until the write-up is completed and verified against them, and destroyed thereafter. Pseudonymized write-ups are stored encrypted with access restricted to the candidate, retained for the duration of the research and destroyed after thesis acceptance. The pseudonym key is stored separately from the write-ups and destroyed once analysis is complete. Interview material is held apart from the learner dataset and never merged with it: the learner data carry no identifiers and must not acquire any by association.</w:t>
      </w:r>
    </w:p>
    <w:p>
      <w:pPr>
        <w:spacing w:after="120" w:line="320"/>
      </w:pPr>
      <w:r>
        <w:t xml:space="preserve">Retention: for the duration of the doctoral research; anonymized digital data retained per SDA Bocconi requirements, then deleted. Any paper originals arising from use of the fallback are locked and destroyed after thesis acceptance.</w:t>
      </w:r>
    </w:p>
    <w:p>
      <w:pPr>
        <w:pStyle w:val="Heading1"/>
        <w:spacing w:after="120" w:before="260"/>
      </w:pPr>
      <w:r>
        <w:t xml:space="preserve">8. Risks and mitigations</w:t>
      </w:r>
    </w:p>
    <w:p>
      <w:pPr>
        <w:spacing w:after="80" w:line="320"/>
        <w:ind w:left="340" w:hanging="170"/>
      </w:pPr>
      <w:r>
        <w:t xml:space="preserve">• </w:t>
      </w:r>
      <w:r>
        <w:t xml:space="preserve">Perceived workplace pressure to participate. Explicit voluntariness script; equal prominence of both consent options; no employer access to individual responses, and none exist.</w:t>
      </w:r>
    </w:p>
    <w:p>
      <w:pPr>
        <w:spacing w:after="80" w:line="320"/>
        <w:ind w:left="340" w:hanging="170"/>
      </w:pPr>
      <w:r>
        <w:t xml:space="preserve">• </w:t>
      </w:r>
      <w:r>
        <w:t xml:space="preserve">Facilitator influence on responses. Self-administration; no facilitator observation of screens; no identifiers; no linkage.</w:t>
      </w:r>
    </w:p>
    <w:p>
      <w:pPr>
        <w:spacing w:after="80" w:line="320"/>
        <w:ind w:left="340" w:hanging="170"/>
      </w:pPr>
      <w:r>
        <w:t xml:space="preserve">• </w:t>
      </w:r>
      <w:r>
        <w:t xml:space="preserve">Perception that responses are tracked because collection is digital. The briefing states explicitly that the instruments are separate from FinPlay, require no login, and record no IP address or identity. The absence of a login screen is itself visible evidence of this to participants.</w:t>
      </w:r>
    </w:p>
    <w:p>
      <w:pPr>
        <w:spacing w:after="80" w:line="320"/>
        <w:ind w:left="340" w:hanging="170"/>
      </w:pPr>
      <w:r>
        <w:t xml:space="preserve">• </w:t>
      </w:r>
      <w:r>
        <w:t xml:space="preserve">Deductive identification in a small cohort. Coarse demographic categories; day-level timestamps only; reporting at theme level, never at individual-response level with identifying detail.</w:t>
      </w:r>
    </w:p>
    <w:p>
      <w:pPr>
        <w:spacing w:after="80" w:line="320"/>
        <w:ind w:left="340" w:hanging="170"/>
      </w:pPr>
      <w:r>
        <w:t xml:space="preserve">• </w:t>
      </w:r>
      <w:r>
        <w:t xml:space="preserve">Network failure, device shortage, or client network restrictions. Printed copies of every instrument, matched to that cohort’s programme length, are carried to each session. The facilitator reverts to the paper procedure described in Section 4 for the affected instrument, and records the substitution in the deviations log.</w:t>
      </w:r>
    </w:p>
    <w:p>
      <w:pPr>
        <w:spacing w:after="80" w:line="320"/>
        <w:ind w:left="340" w:hanging="170"/>
      </w:pPr>
      <w:r>
        <w:t xml:space="preserve">• </w:t>
      </w:r>
      <w:r>
        <w:t xml:space="preserve">The wrong pack, or the wrong service, in a week when two cohorts overlap. Each printed pack states its own programme length on the daily reflection sheet, and each instance of the platform states its cohort and its programme length on the facilitator’s page. Both are checked before anything is displayed to a room.</w:t>
      </w:r>
    </w:p>
    <w:p>
      <w:pPr>
        <w:spacing w:after="80" w:line="320"/>
        <w:ind w:left="340" w:hanging="170"/>
      </w:pPr>
      <w:r>
        <w:t xml:space="preserve">• </w:t>
      </w:r>
      <w:r>
        <w:t xml:space="preserve">Unequal device access among participants. Devices are made available so that participation does not depend on owning a suitable personal device.</w:t>
      </w:r>
    </w:p>
    <w:p>
      <w:pPr>
        <w:spacing w:after="80" w:line="320"/>
        <w:ind w:left="340" w:hanging="170"/>
      </w:pPr>
      <w:r>
        <w:t xml:space="preserve">• </w:t>
      </w:r>
      <w:r>
        <w:t xml:space="preserve">Bilingual rendering. Arabic right-to-left presentation is tested across the device types and browsers expected in the room before the session, and the paper fallback covers any failure.</w:t>
      </w:r>
    </w:p>
    <w:p>
      <w:pPr>
        <w:spacing w:after="80" w:line="320"/>
        <w:ind w:left="340" w:hanging="170"/>
      </w:pPr>
      <w:r>
        <w:t xml:space="preserve">• </w:t>
      </w:r>
      <w:r>
        <w:t xml:space="preserve">Interviewing a colleague and a client. Both interview participants have a working relationship with the candidate, and one of them buys the service under discussion. The risks run in both directions: they may soften criticism to be supportive or commercially agreeable, and the candidate may press less hard than an outsider would. Mitigations: consent taken separately from the commercial and working relationship, with declining stated to carry no consequence for either; the interview guide used as written rather than steered; accounts reported as testimony from interested parties and read against the learner instruments and artifact audits rather than at face value; and Cycle 2 recruiting interview participants from organizations where no prior relationship exists. This limitation is stated in the thesis proposal as well as here, because it cannot be designed away inside Cycle 1.</w:t>
      </w:r>
    </w:p>
    <w:p>
      <w:pPr>
        <w:spacing w:after="80" w:line="320"/>
        <w:ind w:left="340" w:hanging="170"/>
      </w:pPr>
      <w:r>
        <w:t xml:space="preserve">• </w:t>
      </w:r>
      <w:r>
        <w:t xml:space="preserve">Identifiability of interview participants. With one trainer and one training contact, a role label does not conceal identity from anyone familiar with the engagement. Participants are told this before consenting, quotations are checked with them before use, and no organization is named without written permission.</w:t>
      </w:r>
    </w:p>
    <w:p>
      <w:pPr>
        <w:spacing w:after="80" w:line="320"/>
        <w:ind w:left="340" w:hanging="170"/>
      </w:pPr>
      <w:r>
        <w:t xml:space="preserve">• </w:t>
      </w:r>
      <w:r>
        <w:t>Data loss. Export within 48 hours; encrypted redundant storage; verification of export completeness before any source deletion. Interview write-ups are covered by the same encrypted redundant storage until their scheduled deletion, and handwritten notes are written up promptly so that no interview record exists only on paper.</w:t>
      </w:r>
    </w:p>
    <w:p>
      <w:pPr>
        <w:pStyle w:val="Heading1"/>
        <w:spacing w:after="120" w:before="260"/>
      </w:pPr>
      <w:r>
        <w:t xml:space="preserve">9. Oversight and timeline</w:t>
      </w:r>
    </w:p>
    <w:p>
      <w:pPr>
        <w:spacing w:after="120" w:line="320"/>
      </w:pPr>
      <w:r>
        <w:t xml:space="preserve">Supervisor: Professor Emanuele Borgonovo reviews this protocol and the consent materials before the first September session (target: before 6 September 2026). The review and any resulting revisions form part of the audit trail. The changes from the design he approved on 21 August 2026, a single September cohort delivered by the candidate becoming up to four cohorts all delivered by a professional colleague, are material and are drawn to his attention rather than left to be discovered in this document.</w:t>
      </w:r>
    </w:p>
    <w:p>
      <w:pPr>
        <w:spacing w:after="120" w:line="320"/>
      </w:pPr>
      <w:r>
        <w:t>Institutional ethics: SDA Bocconi procedures via ecr.unibocconi.it, completed ahead of Cycle 1 on 25 August 2026: research-ethics course, Consent Form prepared through the portal, and the self-assessment checklist with no element flagged. The project was submitted to the committee as application EA001257, which is under review, and this protocol and the Consent Form are revised in response to the committee’s pre-screening. The completed checklist record, with the reasoning on the two judgment items (gatekeeper access and external-provider GDPR compliance), is retained in the audit trail. The two Cycle 1 interviews are still raised with the supervisor before they are conducted, because they introduce identifiable participants to a study whose earlier design had none.</w:t>
      </w:r>
    </w:p>
    <w:p>
      <w:pPr>
        <w:spacing w:after="120" w:line="320"/>
      </w:pPr>
      <w:r>
        <w:t>Indicative sequence: instrument layer built and tested, with client authorisation confirmed for each participating organization, before 6 September 2026; Cohort 1A delivered 6 to 9 September 2026; Cohorts 1B and 1C delivered on the dates the client confirms, an expected two to three weeks after their original early-September schedule; export and verification within 48 hours of each cohort’s final day; the two practitioner interviews conducted after the Cycle 1 deliveries, each of approximately 30 minutes, captured in written notes and written up by hand; instrument and material refinements applied ahead of any October cohort; Cycle 2 fieldwork from late 2026, following reassessment of the ethics checklist and ECR submission if any element then flags.</w:t>
      </w:r>
    </w:p>
    <w:p>
      <w:pPr>
        <w:spacing w:after="120" w:line="320"/>
      </w:pPr>
      <w:r>
        <w:t xml:space="preserve">Contact for participant questions: the candidate, and ethics@unibocconi.it as the institutional contact.</w:t>
      </w:r>
    </w:p>
    <w:p>
      <w:pPr>
        <w:pStyle w:val="Heading1"/>
        <w:spacing w:after="120" w:before="260"/>
      </w:pPr>
      <w:r>
        <w:t xml:space="preserve">10. Summary of changes</w:t>
      </w:r>
    </w:p>
    <w:p>
      <w:pPr>
        <w:spacing w:after="120" w:line="320"/>
      </w:pPr>
      <w:r>
        <w:rPr>
          <w:i/>
          <w:iCs/>
        </w:rPr>
        <w:t>From version 1.6 to version 1.7</w:t>
      </w:r>
    </w:p>
    <w:p>
      <w:pPr>
        <w:spacing w:after="80" w:line="320"/>
        <w:ind w:left="340" w:hanging="170"/>
      </w:pPr>
      <w:r>
        <w:t xml:space="preserve">• </w:t>
      </w:r>
      <w:r>
        <w:t>Sections 2 and 9: the statement that a clear self-assessment checklist made formal ECR submission optional is replaced by a factual record that the project was submitted to the Bocconi Research Ethics Committee as application EA001257 and that this protocol and the Consent Form are revised in response to the committee’s pre-screening. The checklist result is unchanged and still recorded; only the inference drawn from it is removed.</w:t>
      </w:r>
    </w:p>
    <w:p>
      <w:pPr>
        <w:spacing w:after="80" w:line="320"/>
        <w:ind w:left="340" w:hanging="170"/>
      </w:pPr>
      <w:r>
        <w:t xml:space="preserve">• </w:t>
      </w:r>
      <w:r>
        <w:t>No procedure, instrument, consent arrangement, data-management control or risk assessment changes in this version.</w:t>
      </w:r>
    </w:p>
    <w:p>
      <w:pPr>
        <w:spacing w:after="120" w:line="320"/>
      </w:pPr>
      <w:r>
        <w:rPr>
          <w:i/>
          <w:iCs/>
        </w:rPr>
        <w:t>From version 1.5 to version 1.6</w:t>
      </w:r>
    </w:p>
    <w:p>
      <w:pPr>
        <w:spacing w:after="80" w:line="320"/>
        <w:ind w:left="340" w:hanging="170"/>
      </w:pPr>
      <w:r>
        <w:t xml:space="preserve">• </w:t>
      </w:r>
      <w:r>
        <w:t>Sections 6A, 7, 8, 9 and Annex B: interviews are no longer audio-recorded. Version 1.5 made recording the default with notes-only available at the participant’s request; version 1.6 removes recording altogether and makes written notes the sole interview record. This narrows what version 1.5 already permitted rather than adding anything new, and it removes the only identifiable audio in the study.</w:t>
      </w:r>
    </w:p>
    <w:p>
      <w:pPr>
        <w:spacing w:after="80" w:line="320"/>
        <w:ind w:left="340" w:hanging="170"/>
      </w:pPr>
      <w:r>
        <w:t xml:space="preserve">• </w:t>
      </w:r>
      <w:r>
        <w:t>Section 6A and Annex B: the interview record is a handwritten note written up immediately after the interview, with wording presented as a verbatim quotation only where it was written down verbatim at the time, and the write-up returned to the participant for confirmation before use. This preserves the existing commitment that quotations are checked with the speaker, which a notes-based record would otherwise weaken.</w:t>
      </w:r>
    </w:p>
    <w:p>
      <w:pPr>
        <w:spacing w:after="80" w:line="320"/>
        <w:ind w:left="340" w:hanging="170"/>
      </w:pPr>
      <w:r>
        <w:t xml:space="preserve">• </w:t>
      </w:r>
      <w:r>
        <w:t>Annex B: interview duration reduced from 45 to 60 minutes to approximately 30 minutes, and the guide’s role-split stated explicitly, so that a single interview covers eight or nine of the twelve questions and the shorter duration is realistic as written.</w:t>
      </w:r>
    </w:p>
    <w:p>
      <w:pPr>
        <w:spacing w:after="80" w:line="320"/>
        <w:ind w:left="340" w:hanging="170"/>
      </w:pPr>
      <w:r>
        <w:t xml:space="preserve">• </w:t>
      </w:r>
      <w:r>
        <w:t>Section 7: interview data handling rewritten for a notes-based record. Handwritten notes are secured until the write-up is verified against them and destroyed thereafter; pseudonymized write-ups are encrypted, retained for the duration of the research and destroyed after thesis acceptance; the pseudonym key is held separately and destroyed once analysis is complete. The prohibition on entering participant responses into generative AI systems, including automated transcription services, is retained in full.</w:t>
      </w:r>
    </w:p>
    <w:p>
      <w:pPr>
        <w:spacing w:after="80" w:line="320"/>
        <w:ind w:left="340" w:hanging="170"/>
      </w:pPr>
      <w:r>
        <w:t xml:space="preserve">• </w:t>
      </w:r>
      <w:r>
        <w:t>Section 9: the indicative sequence records the two interviews as approximately 30 minutes each, captured in written notes.</w:t>
      </w:r>
    </w:p>
    <w:p>
      <w:pPr>
        <w:spacing w:after="80" w:line="320"/>
        <w:ind w:left="340" w:hanging="170"/>
      </w:pPr>
      <w:r>
        <w:t xml:space="preserve">• </w:t>
      </w:r>
      <w:r>
        <w:t>The Informed Consent prepared through the Bocconi portal is reissued to match this version: the Procedures and duration paragraph states the four learner instruments with their timings and the 30-minute unrecorded interview; the confidentiality paragraph describes a notes-based interview record and states plainly that a role label does not conceal identity in a study with one facilitator and one training contact; and the voluntariness paragraph distinguishes learner withdrawal, which is not possible after submission because responses carry no identifier, from interview withdrawal, which is open up to write-up.</w:t>
      </w:r>
    </w:p>
    <w:p>
      <w:pPr>
        <w:spacing w:after="80" w:line="320"/>
        <w:ind w:left="340" w:hanging="170"/>
      </w:pPr>
      <w:r>
        <w:t xml:space="preserve">• </w:t>
      </w:r>
      <w:r>
        <w:t>No learner instrument, consent option, or anonymity control changes in this version.</w:t>
      </w:r>
    </w:p>
    <w:p>
      <w:pPr>
        <w:spacing w:after="120" w:line="320"/>
      </w:pPr>
      <w:r>
        <w:rPr>
          <w:i/>
          <w:iCs/>
        </w:rPr>
        <w:t xml:space="preserve">From version 1.4 to version 1.5</w:t>
      </w:r>
    </w:p>
    <w:p>
      <w:pPr>
        <w:spacing w:after="80" w:line="320"/>
        <w:ind w:left="340" w:hanging="170"/>
      </w:pPr>
      <w:r>
        <w:t xml:space="preserve">• </w:t>
      </w:r>
      <w:r>
        <w:t xml:space="preserve">Sections 11 and 12 (new): the instruments are annexed as participants will see them, at the Ethics Committee’s pre-screening request on application EA001257: the consent and briefing screen, the pre-training questionnaire, the daily reflection card and the post-training evaluation (the English texts of Research Instruments v2.3, whose Part 2 carries the Arabic mirrors), and the semi-structured interview guide.</w:t>
      </w:r>
    </w:p>
    <w:p>
      <w:pPr>
        <w:spacing w:after="80" w:line="320"/>
        <w:ind w:left="340" w:hanging="170"/>
      </w:pPr>
      <w:r>
        <w:t xml:space="preserve">• </w:t>
      </w:r>
      <w:r>
        <w:t xml:space="preserve">Sections 2, 3, 6 and 9: delivery of all Cycle 1 cohorts has passed to a professional colleague; the candidate neither facilitates nor observes any cohort and is not present in the room. The dual role is absent from data generation, and the within-cycle presence comparison described in earlier versions passes to Cycle 2.</w:t>
      </w:r>
    </w:p>
    <w:p>
      <w:pPr>
        <w:spacing w:after="80" w:line="320"/>
        <w:ind w:left="340" w:hanging="170"/>
      </w:pPr>
      <w:r>
        <w:t xml:space="preserve">• </w:t>
      </w:r>
      <w:r>
        <w:t xml:space="preserve">Sections 2 and 9: the second organization’s two cohorts, originally 6 to 8 and 13 to 15 September 2026, were postponed by the client by an expected two to three weeks. The per-cohort instance separation is restated as a property of the platform rather than of any particular week’s schedule. No procedure changes with the dates.</w:t>
      </w:r>
    </w:p>
    <w:p>
      <w:pPr>
        <w:spacing w:after="80" w:line="320"/>
        <w:ind w:left="340" w:hanging="170"/>
      </w:pPr>
      <w:r>
        <w:t xml:space="preserve">• </w:t>
      </w:r>
      <w:r>
        <w:t xml:space="preserve">Annex B corrects the interview guide’s opening reminder, which in earlier drafts said responses are anonymized and withdrawal is possible at any time. Neither was accurate for the interview strand: Section 6A promises confidentiality with pseudonymization at transcription, and withdrawal up to the start of analysis. The guide now says what Section 6A says.</w:t>
      </w:r>
    </w:p>
    <w:p>
      <w:pPr>
        <w:spacing w:after="80" w:line="320"/>
        <w:ind w:left="340" w:hanging="170"/>
      </w:pPr>
      <w:r>
        <w:t xml:space="preserve">• </w:t>
      </w:r>
      <w:r>
        <w:t xml:space="preserve">No learner instrument, consent arrangement, or data-management control changes in this version.</w:t>
      </w:r>
    </w:p>
    <w:p>
      <w:pPr>
        <w:spacing w:after="120" w:line="320"/>
      </w:pPr>
      <w:r>
        <w:rPr>
          <w:i/>
          <w:iCs/>
        </w:rPr>
        <w:t xml:space="preserve">From version 1.3 to version 1.4</w:t>
      </w:r>
    </w:p>
    <w:p>
      <w:pPr>
        <w:spacing w:after="80" w:line="320"/>
        <w:ind w:left="340" w:hanging="170"/>
      </w:pPr>
      <w:r>
        <w:t xml:space="preserve">• </w:t>
      </w:r>
      <w:r>
        <w:t xml:space="preserve">Section 2 and Section 9: the institutional ethics procedure is recorded as completed ahead of Cycle 1 (25 August 2026): ethics course, Consent Form via the portal, and the self-assessment checklist with no element flagged, so ECR submission is optional under the committee’s rule. Earlier versions deferred the institutional process to Cycle 2; the committee’s guidance of 25 August 2026 established that consent must precede any collection from individuals, and the procedure was completed accordingly.</w:t>
      </w:r>
    </w:p>
    <w:p>
      <w:pPr>
        <w:spacing w:after="80" w:line="320"/>
        <w:ind w:left="340" w:hanging="170"/>
      </w:pPr>
      <w:r>
        <w:t xml:space="preserve">• </w:t>
      </w:r>
      <w:r>
        <w:t xml:space="preserve">Section 9: Cycle 2 ethics wording changed from "following institutional ethics approval" to reassessment of the checklist with submission if any element flags.</w:t>
      </w:r>
    </w:p>
    <w:p>
      <w:pPr>
        <w:spacing w:after="120" w:line="320"/>
      </w:pPr>
      <w:r>
        <w:rPr>
          <w:i/>
          <w:iCs/>
        </w:rPr>
        <w:t xml:space="preserve">From version 1.2 to version 1.3</w:t>
      </w:r>
    </w:p>
    <w:p>
      <w:pPr>
        <w:spacing w:after="80" w:line="320"/>
        <w:ind w:left="340" w:hanging="170"/>
      </w:pPr>
      <w:r>
        <w:t xml:space="preserve">• </w:t>
      </w:r>
      <w:r>
        <w:t xml:space="preserve">Sections 3 and 6A: an interview strand is added to Cycle 1, two practitioners rather than none. This is the substantive change, and it breaks a property version 1.2 could state without qualification. The study is no longer anonymous throughout. Learner instruments remain anonymous at source; interview participants are known to the candidate and are offered confidentiality instead, which is a weaker promise and is described to them as one. Every anonymity claim elsewhere in this protocol is now explicitly scoped to the learner instruments.</w:t>
      </w:r>
    </w:p>
    <w:p>
      <w:pPr>
        <w:spacing w:after="80" w:line="320"/>
        <w:ind w:left="340" w:hanging="170"/>
      </w:pPr>
      <w:r>
        <w:t xml:space="preserve">• </w:t>
      </w:r>
      <w:r>
        <w:t xml:space="preserve">Section 4: the interview guide is recorded as a fifth instrument, outside the screen-delivered set.</w:t>
      </w:r>
    </w:p>
    <w:p>
      <w:pPr>
        <w:spacing w:after="80" w:line="320"/>
        <w:ind w:left="340" w:hanging="170"/>
      </w:pPr>
      <w:r>
        <w:t xml:space="preserve">• </w:t>
      </w:r>
      <w:r>
        <w:t xml:space="preserve">Sections 5 and 6A: interview consent is written, individual, separate from any commercial or working relationship, and revocable up to write-up, which the learner instruments cannot offer because their responses cannot be found again.</w:t>
      </w:r>
    </w:p>
    <w:p>
      <w:pPr>
        <w:spacing w:after="80" w:line="320"/>
        <w:ind w:left="340" w:hanging="170"/>
      </w:pPr>
      <w:r>
        <w:t xml:space="preserve">• </w:t>
      </w:r>
      <w:r>
        <w:t xml:space="preserve">Section 7: interview recordings and transcripts are brought under the data management plan, with retention, pseudonymization and key handling specified. The prohibition on entering participant responses into generative AI systems is extended explicitly to automated transcription services and to AI assistance with coding, which is where it is most likely to be breached inadvertently.</w:t>
      </w:r>
    </w:p>
    <w:p>
      <w:pPr>
        <w:spacing w:after="80" w:line="320"/>
        <w:ind w:left="340" w:hanging="170"/>
      </w:pPr>
      <w:r>
        <w:t xml:space="preserve">• </w:t>
      </w:r>
      <w:r>
        <w:t xml:space="preserve">Section 8: adds the risk of interviewing a colleague and a client, and the residual identifiability of two named-role participants.</w:t>
      </w:r>
    </w:p>
    <w:p>
      <w:pPr>
        <w:spacing w:after="80" w:line="320"/>
        <w:ind w:left="340" w:hanging="170"/>
      </w:pPr>
      <w:r>
        <w:t xml:space="preserve">• </w:t>
      </w:r>
      <w:r>
        <w:t xml:space="preserve">Section 9: the interviews are raised with the supervisor before being conducted.</w:t>
      </w:r>
    </w:p>
    <w:p>
      <w:pPr>
        <w:spacing w:after="120" w:line="320"/>
      </w:pPr>
      <w:r>
        <w:rPr>
          <w:i/>
          <w:iCs/>
        </w:rPr>
        <w:t xml:space="preserve">From version 1.1 to version 1.2</w:t>
      </w:r>
    </w:p>
    <w:p>
      <w:pPr>
        <w:spacing w:after="80" w:line="320"/>
        <w:ind w:left="340" w:hanging="170"/>
      </w:pPr>
      <w:r>
        <w:t xml:space="preserve">• </w:t>
      </w:r>
      <w:r>
        <w:t xml:space="preserve">Section 2: Cycle 1 grows from two cohorts at two organizations to up to four at three, with two programme lengths, and two of them delivered by a colleague rather than by the candidate. Two cohorts overlap in the same week and are served by separate instances with cohort-scoped counts, exports and deletion.</w:t>
      </w:r>
    </w:p>
    <w:p>
      <w:pPr>
        <w:spacing w:after="80" w:line="320"/>
        <w:ind w:left="340" w:hanging="170"/>
      </w:pPr>
      <w:r>
        <w:t xml:space="preserve">• </w:t>
      </w:r>
      <w:r>
        <w:t xml:space="preserve">Section 4: the daily reflection is one card per training day rather than four, and the cross-programme question attaches to the final day rather than to Day 4. The substitution that produces a shorter programme is specified, and pointed at Part 5 of Research Instruments v2.1.</w:t>
      </w:r>
    </w:p>
    <w:p>
      <w:pPr>
        <w:spacing w:after="80" w:line="320"/>
        <w:ind w:left="340" w:hanging="170"/>
      </w:pPr>
      <w:r>
        <w:t xml:space="preserve">• </w:t>
      </w:r>
      <w:r>
        <w:t xml:space="preserve">Section 4: the paper fallback now follows the collection-box procedure of the facilitator run sheet rather than the sealed-envelope-per-participant procedure of version 1.0, which reintroduced a per-person object.</w:t>
      </w:r>
    </w:p>
    <w:p>
      <w:pPr>
        <w:spacing w:after="80" w:line="320"/>
        <w:ind w:left="340" w:hanging="170"/>
      </w:pPr>
      <w:r>
        <w:t xml:space="preserve">• </w:t>
      </w:r>
      <w:r>
        <w:t xml:space="preserve">Section 5: the sentence about declining participants no longer implies a technical control that cannot exist without breaching Section 6, and says instead what the design delivers, that the software prompts nobody.</w:t>
      </w:r>
    </w:p>
    <w:p>
      <w:pPr>
        <w:spacing w:after="80" w:line="320"/>
        <w:ind w:left="340" w:hanging="170"/>
      </w:pPr>
      <w:r>
        <w:t xml:space="preserve">• </w:t>
      </w:r>
      <w:r>
        <w:t xml:space="preserve">Section 5: the voluntariness reminder is recorded as appearing on every instrument after the Day 1 briefing, which Research Instruments v2.1 corrects and v2.0 did not satisfy.</w:t>
      </w:r>
    </w:p>
    <w:p>
      <w:pPr>
        <w:spacing w:after="80" w:line="320"/>
        <w:ind w:left="340" w:hanging="170"/>
      </w:pPr>
      <w:r>
        <w:t xml:space="preserve">• </w:t>
      </w:r>
      <w:r>
        <w:t xml:space="preserve">Section 6: the facilitator-researcher dual role is scoped to the cohort the candidate delivers, and its absence in the colleague-delivered cohorts is identified as a comparison rather than passed over.</w:t>
      </w:r>
    </w:p>
    <w:p>
      <w:pPr>
        <w:spacing w:after="80" w:line="320"/>
        <w:ind w:left="340" w:hanging="170"/>
      </w:pPr>
      <w:r>
        <w:t xml:space="preserve">• </w:t>
      </w:r>
      <w:r>
        <w:t xml:space="preserve">Section 7: the claim that connection metadata is "not logged, not retained" is narrowed to what the study can evidence, and strengthened where it can be: participants never connect to the database at all.</w:t>
      </w:r>
    </w:p>
    <w:p>
      <w:pPr>
        <w:spacing w:after="80" w:line="320"/>
        <w:ind w:left="340" w:hanging="170"/>
      </w:pPr>
      <w:r>
        <w:t xml:space="preserve">• </w:t>
      </w:r>
      <w:r>
        <w:t xml:space="preserve">Section 7: response identifiers are described as generated when the record is written, which is how they are built, rather than at export.</w:t>
      </w:r>
    </w:p>
    <w:p>
      <w:pPr>
        <w:spacing w:after="80" w:line="320"/>
        <w:ind w:left="340" w:hanging="170"/>
      </w:pPr>
      <w:r>
        <w:t xml:space="preserve">• </w:t>
      </w:r>
      <w:r>
        <w:t xml:space="preserve">Sections 8 and 9: the risks of two overlapping cohorts, and a timeline covering all of them.</w:t>
      </w:r>
    </w:p>
    <w:p>
      <w:pPr>
        <w:spacing w:after="120" w:line="320"/>
      </w:pPr>
      <w:r>
        <w:rPr>
          <w:i/>
          <w:iCs/>
        </w:rPr>
        <w:t xml:space="preserve">From version 1.0 to version 1.1, retained for the audit trail</w:t>
      </w:r>
    </w:p>
    <w:p>
      <w:pPr>
        <w:spacing w:after="80" w:line="320"/>
        <w:ind w:left="340" w:hanging="170"/>
      </w:pPr>
      <w:r>
        <w:t xml:space="preserve">• </w:t>
      </w:r>
      <w:r>
        <w:t xml:space="preserve">Section 2: Cycle 1 became two cohorts (September and October 2026) rather than a single pilot cohort.</w:t>
      </w:r>
    </w:p>
    <w:p>
      <w:pPr>
        <w:spacing w:after="80" w:line="320"/>
        <w:ind w:left="340" w:hanging="170"/>
      </w:pPr>
      <w:r>
        <w:t xml:space="preserve">• </w:t>
      </w:r>
      <w:r>
        <w:t xml:space="preserve">Section 4: instruments moved from paper to online web forms, with no login and no connection to the FinPlay platform. A printed fallback set was retained for operational failure.</w:t>
      </w:r>
    </w:p>
    <w:p>
      <w:pPr>
        <w:spacing w:after="80" w:line="320"/>
        <w:ind w:left="340" w:hanging="170"/>
      </w:pPr>
      <w:r>
        <w:t xml:space="preserve">• </w:t>
      </w:r>
      <w:r>
        <w:t xml:space="preserve">Section 5: the sealed-envelope return channel was replaced by online submission with two equally prominent consent options. The change to how declining is recorded was stated explicitly rather than left implicit.</w:t>
      </w:r>
    </w:p>
    <w:p>
      <w:pPr>
        <w:spacing w:after="80" w:line="320"/>
        <w:ind w:left="340" w:hanging="170"/>
      </w:pPr>
      <w:r>
        <w:t xml:space="preserve">• </w:t>
      </w:r>
      <w:r>
        <w:t xml:space="preserve">Section 6: anonymity controls were restated in technical terms appropriate to online collection, and the resulting loss of within-cohort linkage and longitudinal follow-up was acknowledged.</w:t>
      </w:r>
    </w:p>
    <w:p>
      <w:pPr>
        <w:spacing w:after="80" w:line="320"/>
        <w:ind w:left="340" w:hanging="170"/>
      </w:pPr>
      <w:r>
        <w:t xml:space="preserve">• </w:t>
      </w:r>
      <w:r>
        <w:t xml:space="preserve">Section 7: added hosting jurisdiction, the treatment of connection metadata, client authorisation, export and source deletion. The cross-border transfer statement was narrowed to what the design supports.</w:t>
      </w:r>
    </w:p>
    <w:p>
      <w:pPr>
        <w:spacing w:after="80" w:line="320"/>
        <w:ind w:left="340" w:hanging="170"/>
      </w:pPr>
      <w:r>
        <w:t xml:space="preserve">• </w:t>
      </w:r>
      <w:r>
        <w:t xml:space="preserve">Section 8: added risks arising from digital collection, namely perceived tracking, network and device failure, unequal device access, and bilingual rendering.</w:t>
      </w:r>
    </w:p>
    <w:p>
      <w:pPr>
        <w:spacing w:after="80" w:line="320"/>
        <w:ind w:left="340" w:hanging="170"/>
      </w:pPr>
      <w:r>
        <w:t xml:space="preserve">• </w:t>
      </w:r>
      <w:r>
        <w:t xml:space="preserve">Section 9: timeline extended to cover the October cohort and the build and testing of the instrument layer.</w:t>
      </w:r>
    </w:p>
    <w:p>
      <w:pPr>
        <w:pStyle w:val="Heading1"/>
        <w:spacing w:after="120" w:before="260"/>
      </w:pPr>
      <w:r>
        <w:t xml:space="preserve">11. Annex A: The learner instruments as participants see them</w:t>
      </w:r>
    </w:p>
    <w:p>
      <w:pPr>
        <w:spacing w:after="120" w:line="320"/>
      </w:pPr>
      <w:r>
        <w:t xml:space="preserve">The texts below are the English instruments of Research Instruments v2.3, Part 1, reproduced verbatim. Participants may equally choose the Arabic versions, which are the mirror texts in Part 2 of the same document. Formatting is simplified for this annex: rating grids are listed as numbered statements, each answered on the scale stated in the instrument.</w:t>
      </w:r>
    </w:p>
    <w:p>
      <w:pPr>
        <w:spacing w:after="120" w:line="320"/>
      </w:pPr>
      <w:r>
        <w:rPr>
          <w:b/>
          <w:bCs/>
        </w:rPr>
        <w:t xml:space="preserve">A.1 Consent and Briefing</w:t>
      </w:r>
    </w:p>
    <w:p>
      <w:pPr>
        <w:spacing w:after="120" w:line="320"/>
      </w:pPr>
      <w:r>
        <w:rPr>
          <w:i/>
          <w:iCs/>
        </w:rPr>
        <w:t xml:space="preserve">Screen 1 of the online instrument set. Presented on Day 1 before any teaching content.</w:t>
      </w:r>
    </w:p>
    <w:p>
      <w:pPr>
        <w:spacing w:after="120" w:line="320"/>
      </w:pPr>
      <w:r>
        <w:t xml:space="preserve">### Research Participation: Information and Consent</w:t>
      </w:r>
    </w:p>
    <w:p>
      <w:pPr>
        <w:spacing w:after="120" w:line="320"/>
      </w:pPr>
      <w:r>
        <w:rPr>
          <w:b/>
          <w:bCs/>
        </w:rPr>
        <w:t xml:space="preserve">Doctoral research study, SDA Bocconi School of Management</w:t>
      </w:r>
    </w:p>
    <w:p>
      <w:pPr>
        <w:spacing w:after="120" w:line="320"/>
      </w:pPr>
      <w:r>
        <w:t xml:space="preserve">Thank you for taking part in this training programme.</w:t>
      </w:r>
    </w:p>
    <w:p>
      <w:pPr>
        <w:spacing w:after="120" w:line="320"/>
      </w:pPr>
      <w:r>
        <w:t xml:space="preserve">The training materials used in this programme were designed with the assistance of artificial intelligence, as part of a doctoral research project at SDA Bocconi School of Management, supervised by Professor Emanuele Borgonovo.</w:t>
      </w:r>
    </w:p>
    <w:p>
      <w:pPr>
        <w:spacing w:after="120" w:line="320"/>
      </w:pPr>
      <w:r>
        <w:rPr>
          <w:b/>
          <w:bCs/>
        </w:rPr>
        <w:t xml:space="preserve">About the research</w:t>
      </w:r>
    </w:p>
    <w:p>
      <w:pPr>
        <w:spacing w:after="120" w:line="320"/>
      </w:pPr>
      <w:r>
        <w:t xml:space="preserve">This study examines how AI-assisted design affects the quality of finance training for working professionals, how people experience gamified simulation, and what makes such training effective and trustworthy.</w:t>
      </w:r>
    </w:p>
    <w:p>
      <w:pPr>
        <w:spacing w:after="120" w:line="320"/>
      </w:pPr>
      <w:r>
        <w:rPr>
          <w:b/>
          <w:bCs/>
        </w:rPr>
        <w:t xml:space="preserve">What you are being asked to do</w:t>
      </w:r>
    </w:p>
    <w:p>
      <w:pPr>
        <w:spacing w:after="120" w:line="320"/>
      </w:pPr>
      <w:r>
        <w:t xml:space="preserve">During this four-day programme you may complete four short activities: a brief questionnaire at the start of Day 1, a short reflection at the end of each day (about five minutes), and a final evaluation at the end of Day 4 (about ten minutes).</w:t>
      </w:r>
    </w:p>
    <w:p>
      <w:pPr>
        <w:spacing w:after="120" w:line="320"/>
      </w:pPr>
      <w:r>
        <w:rPr>
          <w:b/>
          <w:bCs/>
        </w:rPr>
        <w:t xml:space="preserve">Your responses are anonymous</w:t>
      </w:r>
    </w:p>
    <w:p>
      <w:pPr>
        <w:spacing w:after="80" w:line="320"/>
        <w:ind w:left="340" w:hanging="170"/>
      </w:pPr>
      <w:r>
        <w:t xml:space="preserve">• </w:t>
      </w:r>
      <w:r>
        <w:t xml:space="preserve">No name, employee number, email address, or any other identifying information is collected at any point</w:t>
      </w:r>
    </w:p>
    <w:p>
      <w:pPr>
        <w:spacing w:after="80" w:line="320"/>
        <w:ind w:left="340" w:hanging="170"/>
      </w:pPr>
      <w:r>
        <w:t xml:space="preserve">• </w:t>
      </w:r>
      <w:r>
        <w:t xml:space="preserve">You do not log in, and these forms are completely separate from the FinPlay training platform</w:t>
      </w:r>
    </w:p>
    <w:p>
      <w:pPr>
        <w:spacing w:after="80" w:line="320"/>
        <w:ind w:left="340" w:hanging="170"/>
      </w:pPr>
      <w:r>
        <w:t xml:space="preserve">• </w:t>
      </w:r>
      <w:r>
        <w:t xml:space="preserve">Your responses cannot be linked to you, to each other, or to anything you do in the training</w:t>
      </w:r>
    </w:p>
    <w:p>
      <w:pPr>
        <w:spacing w:after="80" w:line="320"/>
        <w:ind w:left="340" w:hanging="170"/>
      </w:pPr>
      <w:r>
        <w:t xml:space="preserve">• </w:t>
      </w:r>
      <w:r>
        <w:t xml:space="preserve">Your employer will never see individual responses, because no individual responses exist to see</w:t>
      </w:r>
    </w:p>
    <w:p>
      <w:pPr>
        <w:spacing w:after="120" w:line="320"/>
      </w:pPr>
      <w:r>
        <w:rPr>
          <w:b/>
          <w:bCs/>
        </w:rPr>
        <w:t xml:space="preserve">Your choice is free</w:t>
      </w:r>
    </w:p>
    <w:p>
      <w:pPr>
        <w:spacing w:after="120" w:line="320"/>
      </w:pPr>
      <w:r>
        <w:t xml:space="preserve">Taking part in the research is entirely voluntary and separate from your attendance at the training, which your employer arranged. Choosing not to take part has no effect whatsoever on your training experience and no employment consequence of any kind.</w:t>
      </w:r>
    </w:p>
    <w:p>
      <w:pPr>
        <w:spacing w:after="120" w:line="320"/>
      </w:pPr>
      <w:r>
        <w:t xml:space="preserve">You may stop at any time simply by not completing a later activity. Because responses carry no identifiers, a submitted response cannot afterwards be found and withdrawn.</w:t>
      </w:r>
    </w:p>
    <w:p>
      <w:pPr>
        <w:spacing w:after="120" w:line="320"/>
      </w:pPr>
      <w:r>
        <w:rPr>
          <w:b/>
          <w:bCs/>
        </w:rPr>
        <w:t xml:space="preserve">Questions</w:t>
      </w:r>
    </w:p>
    <w:p>
      <w:pPr>
        <w:spacing w:after="120" w:line="320"/>
      </w:pPr>
      <w:r>
        <w:t xml:space="preserve">Contact the researcher, Aiman S. Sadeq, or the institutional ethics contact at ethics@unibocconi.it.</w:t>
      </w:r>
    </w:p>
    <w:p>
      <w:pPr>
        <w:spacing w:after="120" w:line="320"/>
      </w:pPr>
      <w:r>
        <w:t xml:space="preserve">---</w:t>
      </w:r>
    </w:p>
    <w:p>
      <w:pPr>
        <w:spacing w:after="120" w:line="320"/>
      </w:pPr>
      <w:r>
        <w:rPr>
          <w:b/>
          <w:bCs/>
        </w:rPr>
        <w:t xml:space="preserve">Please choose one:</w:t>
      </w:r>
    </w:p>
    <w:p>
      <w:pPr>
        <w:spacing w:after="80" w:line="320"/>
        <w:ind w:left="340" w:hanging="170"/>
      </w:pPr>
      <w:r>
        <w:t xml:space="preserve">• </w:t>
      </w:r>
      <w:r>
        <w:t xml:space="preserve">( ) </w:t>
      </w:r>
      <w:r>
        <w:rPr>
          <w:b/>
          <w:bCs/>
        </w:rPr>
        <w:t xml:space="preserve">I agree to take part in the research</w:t>
      </w:r>
    </w:p>
    <w:p>
      <w:pPr>
        <w:spacing w:after="80" w:line="320"/>
        <w:ind w:left="340" w:hanging="170"/>
      </w:pPr>
      <w:r>
        <w:t xml:space="preserve">• </w:t>
      </w:r>
      <w:r>
        <w:t xml:space="preserve">( ) </w:t>
      </w:r>
      <w:r>
        <w:rPr>
          <w:b/>
          <w:bCs/>
        </w:rPr>
        <w:t xml:space="preserve">I prefer not to take part</w:t>
      </w:r>
    </w:p>
    <w:p>
      <w:pPr>
        <w:spacing w:after="120" w:line="320"/>
      </w:pPr>
      <w:r>
        <w:rPr>
          <w:i/>
          <w:iCs/>
        </w:rPr>
        <w:t xml:space="preserve">[Both options continue to the same confirmation screen.]</w:t>
      </w:r>
    </w:p>
    <w:p>
      <w:pPr>
        <w:spacing w:after="120" w:line="320"/>
      </w:pPr>
      <w:r>
        <w:t xml:space="preserve">---</w:t>
      </w:r>
    </w:p>
    <w:p>
      <w:pPr>
        <w:spacing w:after="120" w:line="320"/>
      </w:pPr>
      <w:r>
        <w:rPr>
          <w:b/>
          <w:bCs/>
        </w:rPr>
        <w:t xml:space="preserve">A.2 Pre-Training Questionnaire</w:t>
      </w:r>
    </w:p>
    <w:p>
      <w:pPr>
        <w:spacing w:after="120" w:line="320"/>
      </w:pPr>
      <w:r>
        <w:rPr>
          <w:i/>
          <w:iCs/>
        </w:rPr>
        <w:t xml:space="preserve">Day 1, before training content begins. About five minutes.</w:t>
      </w:r>
    </w:p>
    <w:p>
      <w:pPr>
        <w:spacing w:after="120" w:line="320"/>
      </w:pPr>
      <w:r>
        <w:rPr>
          <w:i/>
          <w:iCs/>
        </w:rPr>
        <w:t xml:space="preserve">A reminder: taking part remains voluntary, and your responses are anonymous.</w:t>
      </w:r>
    </w:p>
    <w:p>
      <w:pPr>
        <w:spacing w:after="120" w:line="320"/>
      </w:pPr>
      <w:r>
        <w:t xml:space="preserve">Your responses are anonymous. This helps the researcher understand the range of backgrounds and expectations in the group.</w:t>
      </w:r>
    </w:p>
    <w:p>
      <w:pPr>
        <w:spacing w:after="120" w:line="320"/>
      </w:pPr>
      <w:r>
        <w:rPr>
          <w:b/>
          <w:bCs/>
        </w:rPr>
        <w:t xml:space="preserve">Section A: Background</w:t>
      </w:r>
    </w:p>
    <w:p>
      <w:pPr>
        <w:spacing w:after="120" w:line="320"/>
      </w:pPr>
      <w:r>
        <w:rPr>
          <w:b/>
          <w:bCs/>
        </w:rPr>
        <w:t xml:space="preserve">A1. Which best describes your current role?</w:t>
      </w:r>
    </w:p>
    <w:p>
      <w:pPr>
        <w:spacing w:after="80" w:line="320"/>
        <w:ind w:left="340" w:hanging="170"/>
      </w:pPr>
      <w:r>
        <w:t xml:space="preserve">• </w:t>
      </w:r>
      <w:r>
        <w:t xml:space="preserve">( ) Individual contributor or specialist</w:t>
      </w:r>
    </w:p>
    <w:p>
      <w:pPr>
        <w:spacing w:after="80" w:line="320"/>
        <w:ind w:left="340" w:hanging="170"/>
      </w:pPr>
      <w:r>
        <w:t xml:space="preserve">• </w:t>
      </w:r>
      <w:r>
        <w:t xml:space="preserve">( ) Supervisor or team leader</w:t>
      </w:r>
    </w:p>
    <w:p>
      <w:pPr>
        <w:spacing w:after="80" w:line="320"/>
        <w:ind w:left="340" w:hanging="170"/>
      </w:pPr>
      <w:r>
        <w:t xml:space="preserve">• </w:t>
      </w:r>
      <w:r>
        <w:t xml:space="preserve">( ) Manager</w:t>
      </w:r>
    </w:p>
    <w:p>
      <w:pPr>
        <w:spacing w:after="80" w:line="320"/>
        <w:ind w:left="340" w:hanging="170"/>
      </w:pPr>
      <w:r>
        <w:t xml:space="preserve">• </w:t>
      </w:r>
      <w:r>
        <w:t xml:space="preserve">( ) Senior manager, director or above</w:t>
      </w:r>
    </w:p>
    <w:p>
      <w:pPr>
        <w:spacing w:after="80" w:line="320"/>
        <w:ind w:left="340" w:hanging="170"/>
      </w:pPr>
      <w:r>
        <w:t xml:space="preserve">• </w:t>
      </w:r>
      <w:r>
        <w:t xml:space="preserve">( ) Prefer not to say</w:t>
      </w:r>
    </w:p>
    <w:p>
      <w:pPr>
        <w:spacing w:after="120" w:line="320"/>
      </w:pPr>
      <w:r>
        <w:rPr>
          <w:b/>
          <w:bCs/>
        </w:rPr>
        <w:t xml:space="preserve">A2. How many years of professional experience do you have?</w:t>
      </w:r>
    </w:p>
    <w:p>
      <w:pPr>
        <w:spacing w:after="80" w:line="320"/>
        <w:ind w:left="340" w:hanging="170"/>
      </w:pPr>
      <w:r>
        <w:t xml:space="preserve">• </w:t>
      </w:r>
      <w:r>
        <w:t xml:space="preserve">( ) Under 5 years</w:t>
      </w:r>
    </w:p>
    <w:p>
      <w:pPr>
        <w:spacing w:after="80" w:line="320"/>
        <w:ind w:left="340" w:hanging="170"/>
      </w:pPr>
      <w:r>
        <w:t xml:space="preserve">• </w:t>
      </w:r>
      <w:r>
        <w:t xml:space="preserve">( ) 5 to 10 years</w:t>
      </w:r>
    </w:p>
    <w:p>
      <w:pPr>
        <w:spacing w:after="80" w:line="320"/>
        <w:ind w:left="340" w:hanging="170"/>
      </w:pPr>
      <w:r>
        <w:t xml:space="preserve">• </w:t>
      </w:r>
      <w:r>
        <w:t xml:space="preserve">( ) 11 to 20 years</w:t>
      </w:r>
    </w:p>
    <w:p>
      <w:pPr>
        <w:spacing w:after="80" w:line="320"/>
        <w:ind w:left="340" w:hanging="170"/>
      </w:pPr>
      <w:r>
        <w:t xml:space="preserve">• </w:t>
      </w:r>
      <w:r>
        <w:t xml:space="preserve">( ) Over 20 years</w:t>
      </w:r>
    </w:p>
    <w:p>
      <w:pPr>
        <w:spacing w:after="80" w:line="320"/>
        <w:ind w:left="340" w:hanging="170"/>
      </w:pPr>
      <w:r>
        <w:t xml:space="preserve">• </w:t>
      </w:r>
      <w:r>
        <w:t xml:space="preserve">( ) Prefer not to say</w:t>
      </w:r>
    </w:p>
    <w:p>
      <w:pPr>
        <w:spacing w:after="120" w:line="320"/>
      </w:pPr>
      <w:r>
        <w:rPr>
          <w:b/>
          <w:bCs/>
        </w:rPr>
        <w:t xml:space="preserve">Section B: Prior knowledge</w:t>
      </w:r>
    </w:p>
    <w:p>
      <w:pPr>
        <w:spacing w:after="120" w:line="320"/>
      </w:pPr>
      <w:r>
        <w:rPr>
          <w:b/>
          <w:bCs/>
        </w:rPr>
        <w:t xml:space="preserve">B1. How would you rate your current understanding of financial concepts such as financial statements, budgeting and financial analysis?</w:t>
      </w:r>
    </w:p>
    <w:p>
      <w:pPr>
        <w:spacing w:after="80" w:line="320"/>
        <w:ind w:left="340" w:hanging="170"/>
      </w:pPr>
      <w:r>
        <w:t xml:space="preserve">• </w:t>
      </w:r>
      <w:r>
        <w:t xml:space="preserve">( ) No prior knowledge</w:t>
      </w:r>
    </w:p>
    <w:p>
      <w:pPr>
        <w:spacing w:after="80" w:line="320"/>
        <w:ind w:left="340" w:hanging="170"/>
      </w:pPr>
      <w:r>
        <w:t xml:space="preserve">• </w:t>
      </w:r>
      <w:r>
        <w:t xml:space="preserve">( ) Basic understanding</w:t>
      </w:r>
    </w:p>
    <w:p>
      <w:pPr>
        <w:spacing w:after="80" w:line="320"/>
        <w:ind w:left="340" w:hanging="170"/>
      </w:pPr>
      <w:r>
        <w:t xml:space="preserve">• </w:t>
      </w:r>
      <w:r>
        <w:t xml:space="preserve">( ) Moderate understanding</w:t>
      </w:r>
    </w:p>
    <w:p>
      <w:pPr>
        <w:spacing w:after="80" w:line="320"/>
        <w:ind w:left="340" w:hanging="170"/>
      </w:pPr>
      <w:r>
        <w:t xml:space="preserve">• </w:t>
      </w:r>
      <w:r>
        <w:t xml:space="preserve">( ) Strong understanding</w:t>
      </w:r>
    </w:p>
    <w:p>
      <w:pPr>
        <w:spacing w:after="80" w:line="320"/>
        <w:ind w:left="340" w:hanging="170"/>
      </w:pPr>
      <w:r>
        <w:t xml:space="preserve">• </w:t>
      </w:r>
      <w:r>
        <w:t xml:space="preserve">( ) Expert level</w:t>
      </w:r>
    </w:p>
    <w:p>
      <w:pPr>
        <w:spacing w:after="120" w:line="320"/>
      </w:pPr>
      <w:r>
        <w:rPr>
          <w:b/>
          <w:bCs/>
        </w:rPr>
        <w:t xml:space="preserve">B2. Have you previously attended finance-related training?</w:t>
      </w:r>
    </w:p>
    <w:p>
      <w:pPr>
        <w:spacing w:after="80" w:line="320"/>
        <w:ind w:left="340" w:hanging="170"/>
      </w:pPr>
      <w:r>
        <w:t xml:space="preserve">• </w:t>
      </w:r>
      <w:r>
        <w:t xml:space="preserve">( ) Yes</w:t>
      </w:r>
    </w:p>
    <w:p>
      <w:pPr>
        <w:spacing w:after="80" w:line="320"/>
        <w:ind w:left="340" w:hanging="170"/>
      </w:pPr>
      <w:r>
        <w:t xml:space="preserve">• </w:t>
      </w:r>
      <w:r>
        <w:t xml:space="preserve">( ) No</w:t>
      </w:r>
    </w:p>
    <w:p>
      <w:pPr>
        <w:spacing w:after="120" w:line="320"/>
      </w:pPr>
      <w:r>
        <w:rPr>
          <w:b/>
          <w:bCs/>
        </w:rPr>
        <w:t xml:space="preserve">B3. If yes, please describe it briefly.</w:t>
      </w:r>
    </w:p>
    <w:p>
      <w:pPr>
        <w:spacing w:after="120" w:line="320"/>
      </w:pPr>
      <w:r>
        <w:rPr>
          <w:i/>
          <w:iCs/>
        </w:rPr>
        <w:t xml:space="preserve">[Open text, optional]</w:t>
      </w:r>
    </w:p>
    <w:p>
      <w:pPr>
        <w:spacing w:after="120" w:line="320"/>
      </w:pPr>
      <w:r>
        <w:rPr>
          <w:b/>
          <w:bCs/>
        </w:rPr>
        <w:t xml:space="preserve">Section C: Prior experience with gamified learning</w:t>
      </w:r>
    </w:p>
    <w:p>
      <w:pPr>
        <w:spacing w:after="120" w:line="320"/>
      </w:pPr>
      <w:r>
        <w:rPr>
          <w:b/>
          <w:bCs/>
        </w:rPr>
        <w:t xml:space="preserve">C1. Have you taken part in training that included games, simulations or competition as part of the learning?</w:t>
      </w:r>
    </w:p>
    <w:p>
      <w:pPr>
        <w:spacing w:after="80" w:line="320"/>
        <w:ind w:left="340" w:hanging="170"/>
      </w:pPr>
      <w:r>
        <w:t xml:space="preserve">• </w:t>
      </w:r>
      <w:r>
        <w:t xml:space="preserve">( ) Yes</w:t>
      </w:r>
    </w:p>
    <w:p>
      <w:pPr>
        <w:spacing w:after="80" w:line="320"/>
        <w:ind w:left="340" w:hanging="170"/>
      </w:pPr>
      <w:r>
        <w:t xml:space="preserve">• </w:t>
      </w:r>
      <w:r>
        <w:t xml:space="preserve">( ) No</w:t>
      </w:r>
    </w:p>
    <w:p>
      <w:pPr>
        <w:spacing w:after="120" w:line="320"/>
      </w:pPr>
      <w:r>
        <w:rPr>
          <w:b/>
          <w:bCs/>
        </w:rPr>
        <w:t xml:space="preserve">C2. How comfortable are you with technology-based learning tools such as online portals and interactive simulations?</w:t>
      </w:r>
    </w:p>
    <w:p>
      <w:pPr>
        <w:spacing w:after="80" w:line="320"/>
        <w:ind w:left="340" w:hanging="170"/>
      </w:pPr>
      <w:r>
        <w:t xml:space="preserve">• </w:t>
      </w:r>
      <w:r>
        <w:t xml:space="preserve">( ) Not comfortable at all</w:t>
      </w:r>
    </w:p>
    <w:p>
      <w:pPr>
        <w:spacing w:after="80" w:line="320"/>
        <w:ind w:left="340" w:hanging="170"/>
      </w:pPr>
      <w:r>
        <w:t xml:space="preserve">• </w:t>
      </w:r>
      <w:r>
        <w:t xml:space="preserve">( ) Somewhat comfortable</w:t>
      </w:r>
    </w:p>
    <w:p>
      <w:pPr>
        <w:spacing w:after="80" w:line="320"/>
        <w:ind w:left="340" w:hanging="170"/>
      </w:pPr>
      <w:r>
        <w:t xml:space="preserve">• </w:t>
      </w:r>
      <w:r>
        <w:t xml:space="preserve">( ) Comfortable</w:t>
      </w:r>
    </w:p>
    <w:p>
      <w:pPr>
        <w:spacing w:after="80" w:line="320"/>
        <w:ind w:left="340" w:hanging="170"/>
      </w:pPr>
      <w:r>
        <w:t xml:space="preserve">• </w:t>
      </w:r>
      <w:r>
        <w:t xml:space="preserve">( ) Very comfortable</w:t>
      </w:r>
    </w:p>
    <w:p>
      <w:pPr>
        <w:spacing w:after="120" w:line="320"/>
      </w:pPr>
      <w:r>
        <w:rPr>
          <w:b/>
          <w:bCs/>
        </w:rPr>
        <w:t xml:space="preserve">Section D: Expectations</w:t>
      </w:r>
    </w:p>
    <w:p>
      <w:pPr>
        <w:spacing w:after="120" w:line="320"/>
      </w:pPr>
      <w:r>
        <w:rPr>
          <w:b/>
          <w:bCs/>
        </w:rPr>
        <w:t xml:space="preserve">D1. What do you most hope to gain from this training programme?</w:t>
      </w:r>
    </w:p>
    <w:p>
      <w:pPr>
        <w:spacing w:after="120" w:line="320"/>
      </w:pPr>
      <w:r>
        <w:rPr>
          <w:i/>
          <w:iCs/>
        </w:rPr>
        <w:t xml:space="preserve">[Open text]</w:t>
      </w:r>
    </w:p>
    <w:p>
      <w:pPr>
        <w:spacing w:after="120" w:line="320"/>
      </w:pPr>
      <w:r>
        <w:t xml:space="preserve">---</w:t>
      </w:r>
    </w:p>
    <w:p>
      <w:pPr>
        <w:spacing w:after="120" w:line="320"/>
      </w:pPr>
      <w:r>
        <w:rPr>
          <w:b/>
          <w:bCs/>
        </w:rPr>
        <w:t xml:space="preserve">A.3 Daily Reflection, Days 1 to 4</w:t>
      </w:r>
    </w:p>
    <w:p>
      <w:pPr>
        <w:spacing w:after="120" w:line="320"/>
      </w:pPr>
      <w:r>
        <w:rPr>
          <w:i/>
          <w:iCs/>
        </w:rPr>
        <w:t xml:space="preserve">End of each training day. About five minutes.</w:t>
      </w:r>
    </w:p>
    <w:p>
      <w:pPr>
        <w:spacing w:after="120" w:line="320"/>
      </w:pPr>
      <w:r>
        <w:rPr>
          <w:i/>
          <w:iCs/>
        </w:rPr>
        <w:t xml:space="preserve">A reminder: taking part remains voluntary, and your responses are anonymous.</w:t>
      </w:r>
    </w:p>
    <w:p>
      <w:pPr>
        <w:spacing w:after="120" w:line="320"/>
      </w:pPr>
      <w:r>
        <w:rPr>
          <w:b/>
          <w:bCs/>
        </w:rPr>
        <w:t xml:space="preserve">Which day is this?</w:t>
      </w:r>
    </w:p>
    <w:p>
      <w:pPr>
        <w:spacing w:after="80" w:line="320"/>
        <w:ind w:left="340" w:hanging="170"/>
      </w:pPr>
      <w:r>
        <w:t xml:space="preserve">• </w:t>
      </w:r>
      <w:r>
        <w:t xml:space="preserve">( ) Day 1  ( ) Day 2  ( ) Day 3  ( ) Day 4</w:t>
      </w:r>
    </w:p>
    <w:p>
      <w:pPr>
        <w:spacing w:after="120" w:line="320"/>
      </w:pPr>
      <w:r>
        <w:rPr>
          <w:b/>
          <w:bCs/>
        </w:rPr>
        <w:t xml:space="preserve">R1. What was the most useful or valuable thing you learned or experienced today?</w:t>
      </w:r>
    </w:p>
    <w:p>
      <w:pPr>
        <w:spacing w:after="120" w:line="320"/>
      </w:pPr>
      <w:r>
        <w:rPr>
          <w:i/>
          <w:iCs/>
        </w:rPr>
        <w:t xml:space="preserve">[Open text]</w:t>
      </w:r>
    </w:p>
    <w:p>
      <w:pPr>
        <w:spacing w:after="120" w:line="320"/>
      </w:pPr>
      <w:r>
        <w:rPr>
          <w:b/>
          <w:bCs/>
        </w:rPr>
        <w:t xml:space="preserve">R2. Was there anything today that you found confusing, unclear or difficult? If so, what?</w:t>
      </w:r>
    </w:p>
    <w:p>
      <w:pPr>
        <w:spacing w:after="120" w:line="320"/>
      </w:pPr>
      <w:r>
        <w:rPr>
          <w:i/>
          <w:iCs/>
        </w:rPr>
        <w:t xml:space="preserve">[Open text]</w:t>
      </w:r>
    </w:p>
    <w:p>
      <w:pPr>
        <w:spacing w:after="120" w:line="320"/>
      </w:pPr>
      <w:r>
        <w:rPr>
          <w:b/>
          <w:bCs/>
        </w:rPr>
        <w:t xml:space="preserve">R3. How did you find the game elements today, for example the simulation rounds, the team competition, or the scoring? What worked well, and what did not?</w:t>
      </w:r>
    </w:p>
    <w:p>
      <w:pPr>
        <w:spacing w:after="120" w:line="320"/>
      </w:pPr>
      <w:r>
        <w:rPr>
          <w:i/>
          <w:iCs/>
        </w:rPr>
        <w:t xml:space="preserve">[Open text]</w:t>
      </w:r>
    </w:p>
    <w:p>
      <w:pPr>
        <w:spacing w:after="120" w:line="320"/>
      </w:pPr>
      <w:r>
        <w:rPr>
          <w:b/>
          <w:bCs/>
        </w:rPr>
        <w:t xml:space="preserve">Day 4 only:</w:t>
      </w:r>
    </w:p>
    <w:p>
      <w:pPr>
        <w:spacing w:after="120" w:line="320"/>
      </w:pPr>
      <w:r>
        <w:rPr>
          <w:b/>
          <w:bCs/>
        </w:rPr>
        <w:t xml:space="preserve">R4. Looking back across the whole programme, what stands out most, and what would you change before the next group goes through it?</w:t>
      </w:r>
    </w:p>
    <w:p>
      <w:pPr>
        <w:spacing w:after="120" w:line="320"/>
      </w:pPr>
      <w:r>
        <w:rPr>
          <w:i/>
          <w:iCs/>
        </w:rPr>
        <w:t xml:space="preserve">[Open text]</w:t>
      </w:r>
    </w:p>
    <w:p>
      <w:pPr>
        <w:spacing w:after="120" w:line="320"/>
      </w:pPr>
      <w:r>
        <w:t xml:space="preserve">---</w:t>
      </w:r>
    </w:p>
    <w:p>
      <w:pPr>
        <w:spacing w:after="120" w:line="320"/>
      </w:pPr>
      <w:r>
        <w:rPr>
          <w:b/>
          <w:bCs/>
        </w:rPr>
        <w:t xml:space="preserve">A.4 Post-Training Evaluation</w:t>
      </w:r>
    </w:p>
    <w:p>
      <w:pPr>
        <w:spacing w:after="120" w:line="320"/>
      </w:pPr>
      <w:r>
        <w:rPr>
          <w:i/>
          <w:iCs/>
        </w:rPr>
        <w:t xml:space="preserve">End of Day 4, after all training activities. About ten minutes.</w:t>
      </w:r>
    </w:p>
    <w:p>
      <w:pPr>
        <w:spacing w:after="120" w:line="320"/>
      </w:pPr>
      <w:r>
        <w:rPr>
          <w:i/>
          <w:iCs/>
        </w:rPr>
        <w:t xml:space="preserve">A reminder: taking part remains voluntary, and your responses are anonymous.</w:t>
      </w:r>
    </w:p>
    <w:p>
      <w:pPr>
        <w:spacing w:after="120" w:line="320"/>
      </w:pPr>
      <w:r>
        <w:t xml:space="preserve">Please rate each statement from 1 (strongly disagree) to 5 (strongly agree).</w:t>
      </w:r>
    </w:p>
    <w:p>
      <w:pPr>
        <w:spacing w:after="120" w:line="320"/>
      </w:pPr>
      <w:r>
        <w:rPr>
          <w:b/>
          <w:bCs/>
        </w:rPr>
        <w:t xml:space="preserve">Section A: Content and design quality</w:t>
      </w:r>
    </w:p>
    <w:p>
      <w:pPr>
        <w:spacing w:after="80" w:line="320"/>
        <w:ind w:left="340" w:hanging="170"/>
      </w:pPr>
      <w:r>
        <w:t xml:space="preserve">• </w:t>
      </w:r>
      <w:r>
        <w:t xml:space="preserve">A1. The training content was relevant to my work</w:t>
      </w:r>
    </w:p>
    <w:p>
      <w:pPr>
        <w:spacing w:after="80" w:line="320"/>
        <w:ind w:left="340" w:hanging="170"/>
      </w:pPr>
      <w:r>
        <w:t xml:space="preserve">• </w:t>
      </w:r>
      <w:r>
        <w:t xml:space="preserve">A2. The presentations were clear and well structured</w:t>
      </w:r>
    </w:p>
    <w:p>
      <w:pPr>
        <w:spacing w:after="80" w:line="320"/>
        <w:ind w:left="340" w:hanging="170"/>
      </w:pPr>
      <w:r>
        <w:t xml:space="preserve">• </w:t>
      </w:r>
      <w:r>
        <w:t xml:space="preserve">A3. The exercises and case studies helped me understand the concepts</w:t>
      </w:r>
    </w:p>
    <w:p>
      <w:pPr>
        <w:spacing w:after="80" w:line="320"/>
        <w:ind w:left="340" w:hanging="170"/>
      </w:pPr>
      <w:r>
        <w:t xml:space="preserve">• </w:t>
      </w:r>
      <w:r>
        <w:t xml:space="preserve">A4. The training materials were professional and easy to follow</w:t>
      </w:r>
    </w:p>
    <w:p>
      <w:pPr>
        <w:spacing w:after="80" w:line="320"/>
        <w:ind w:left="340" w:hanging="170"/>
      </w:pPr>
      <w:r>
        <w:t xml:space="preserve">• </w:t>
      </w:r>
      <w:r>
        <w:t xml:space="preserve">A5. The level of difficulty was appropriate for my background</w:t>
      </w:r>
    </w:p>
    <w:p>
      <w:pPr>
        <w:spacing w:after="120" w:line="320"/>
      </w:pPr>
      <w:r>
        <w:rPr>
          <w:b/>
          <w:bCs/>
        </w:rPr>
        <w:t xml:space="preserve">Section B: Gamification and simulation experience</w:t>
      </w:r>
    </w:p>
    <w:p>
      <w:pPr>
        <w:spacing w:after="80" w:line="320"/>
        <w:ind w:left="340" w:hanging="170"/>
      </w:pPr>
      <w:r>
        <w:t xml:space="preserve">• </w:t>
      </w:r>
      <w:r>
        <w:t xml:space="preserve">B1. The financial simulation made learning more engaging</w:t>
      </w:r>
    </w:p>
    <w:p>
      <w:pPr>
        <w:spacing w:after="80" w:line="320"/>
        <w:ind w:left="340" w:hanging="170"/>
      </w:pPr>
      <w:r>
        <w:t xml:space="preserve">• </w:t>
      </w:r>
      <w:r>
        <w:t xml:space="preserve">B2. The team competition motivated me to take part actively</w:t>
      </w:r>
    </w:p>
    <w:p>
      <w:pPr>
        <w:spacing w:after="80" w:line="320"/>
        <w:ind w:left="340" w:hanging="170"/>
      </w:pPr>
      <w:r>
        <w:t xml:space="preserve">• </w:t>
      </w:r>
      <w:r>
        <w:t xml:space="preserve">B3. The simulation helped me understand the impact of financial decisions</w:t>
      </w:r>
    </w:p>
    <w:p>
      <w:pPr>
        <w:spacing w:after="80" w:line="320"/>
        <w:ind w:left="340" w:hanging="170"/>
      </w:pPr>
      <w:r>
        <w:t xml:space="preserve">• </w:t>
      </w:r>
      <w:r>
        <w:t xml:space="preserve">B4. The three-round structure allowed me to learn from previous decisions</w:t>
      </w:r>
    </w:p>
    <w:p>
      <w:pPr>
        <w:spacing w:after="80" w:line="320"/>
        <w:ind w:left="340" w:hanging="170"/>
      </w:pPr>
      <w:r>
        <w:t xml:space="preserve">• </w:t>
      </w:r>
      <w:r>
        <w:t xml:space="preserve">B5. I would recommend this type of gamified learning to colleagues</w:t>
      </w:r>
    </w:p>
    <w:p>
      <w:pPr>
        <w:spacing w:after="120" w:line="320"/>
      </w:pPr>
      <w:r>
        <w:rPr>
          <w:b/>
          <w:bCs/>
        </w:rPr>
        <w:t xml:space="preserve">Section C: Overall effectiveness</w:t>
      </w:r>
    </w:p>
    <w:p>
      <w:pPr>
        <w:spacing w:after="80" w:line="320"/>
        <w:ind w:left="340" w:hanging="170"/>
      </w:pPr>
      <w:r>
        <w:t xml:space="preserve">• </w:t>
      </w:r>
      <w:r>
        <w:t xml:space="preserve">C1. I feel more confident about financial concepts after this training</w:t>
      </w:r>
    </w:p>
    <w:p>
      <w:pPr>
        <w:spacing w:after="80" w:line="320"/>
        <w:ind w:left="340" w:hanging="170"/>
      </w:pPr>
      <w:r>
        <w:t xml:space="preserve">• </w:t>
      </w:r>
      <w:r>
        <w:t xml:space="preserve">C2. I can apply what I learned to my daily work</w:t>
      </w:r>
    </w:p>
    <w:p>
      <w:pPr>
        <w:spacing w:after="80" w:line="320"/>
        <w:ind w:left="340" w:hanging="170"/>
      </w:pPr>
      <w:r>
        <w:t xml:space="preserve">• </w:t>
      </w:r>
      <w:r>
        <w:t xml:space="preserve">C3. This training was more effective than other training I have attended</w:t>
      </w:r>
    </w:p>
    <w:p>
      <w:pPr>
        <w:spacing w:after="80" w:line="320"/>
        <w:ind w:left="340" w:hanging="170"/>
      </w:pPr>
      <w:r>
        <w:t xml:space="preserve">• </w:t>
      </w:r>
      <w:r>
        <w:t xml:space="preserve">C4. The overall quality of this training programme was high</w:t>
      </w:r>
    </w:p>
    <w:p>
      <w:pPr>
        <w:spacing w:after="120" w:line="320"/>
      </w:pPr>
      <w:r>
        <w:rPr>
          <w:b/>
          <w:bCs/>
        </w:rPr>
        <w:t xml:space="preserve">Section D: In your own words</w:t>
      </w:r>
    </w:p>
    <w:p>
      <w:pPr>
        <w:spacing w:after="120" w:line="320"/>
      </w:pPr>
      <w:r>
        <w:rPr>
          <w:b/>
          <w:bCs/>
        </w:rPr>
        <w:t xml:space="preserve">D1. What was the most valuable aspect of this programme for you?</w:t>
      </w:r>
    </w:p>
    <w:p>
      <w:pPr>
        <w:spacing w:after="120" w:line="320"/>
      </w:pPr>
      <w:r>
        <w:rPr>
          <w:i/>
          <w:iCs/>
        </w:rPr>
        <w:t xml:space="preserve">[Open text]</w:t>
      </w:r>
    </w:p>
    <w:p>
      <w:pPr>
        <w:spacing w:after="120" w:line="320"/>
      </w:pPr>
      <w:r>
        <w:rPr>
          <w:b/>
          <w:bCs/>
        </w:rPr>
        <w:t xml:space="preserve">D2. What would you change or improve?</w:t>
      </w:r>
    </w:p>
    <w:p>
      <w:pPr>
        <w:spacing w:after="120" w:line="320"/>
      </w:pPr>
      <w:r>
        <w:rPr>
          <w:i/>
          <w:iCs/>
        </w:rPr>
        <w:t xml:space="preserve">[Open text]</w:t>
      </w:r>
    </w:p>
    <w:p>
      <w:pPr>
        <w:spacing w:after="120" w:line="320"/>
      </w:pPr>
      <w:r>
        <w:rPr>
          <w:b/>
          <w:bCs/>
        </w:rPr>
        <w:t xml:space="preserve">D3. How likely are you to use what you learned in your role? Please explain.</w:t>
      </w:r>
    </w:p>
    <w:p>
      <w:pPr>
        <w:spacing w:after="120" w:line="320"/>
      </w:pPr>
      <w:r>
        <w:rPr>
          <w:i/>
          <w:iCs/>
        </w:rPr>
        <w:t xml:space="preserve">[Open text]</w:t>
      </w:r>
    </w:p>
    <w:p>
      <w:pPr>
        <w:spacing w:after="120" w:line="320"/>
      </w:pPr>
      <w:r>
        <w:rPr>
          <w:b/>
          <w:bCs/>
        </w:rPr>
        <w:t xml:space="preserve">D4. Any other comments?</w:t>
      </w:r>
    </w:p>
    <w:p>
      <w:pPr>
        <w:spacing w:after="120" w:line="320"/>
      </w:pPr>
      <w:r>
        <w:rPr>
          <w:i/>
          <w:iCs/>
        </w:rPr>
        <w:t xml:space="preserve">[Open text]</w:t>
      </w:r>
    </w:p>
    <w:p>
      <w:pPr>
        <w:spacing w:after="120" w:line="320"/>
      </w:pPr>
      <w:r>
        <w:rPr>
          <w:b/>
          <w:bCs/>
        </w:rPr>
        <w:t xml:space="preserve">Thank you for your time and your thoughtful responses.</w:t>
      </w:r>
    </w:p>
    <w:p>
      <w:pPr>
        <w:spacing w:after="120" w:line="320"/>
      </w:pPr>
      <w:r>
        <w:t xml:space="preserve">---</w:t>
      </w:r>
    </w:p>
    <w:p>
      <w:pPr>
        <w:pStyle w:val="Heading1"/>
        <w:spacing w:after="120" w:before="260"/>
      </w:pPr>
      <w:r>
        <w:t xml:space="preserve">12. Annex B: The semi-structured interview guide, verbatim</w:t>
      </w:r>
    </w:p>
    <w:p>
      <w:pPr>
        <w:spacing w:after="120" w:line="320"/>
      </w:pPr>
      <w:r>
        <w:t>Semi-structured interview guide for trainers, subject-matter experts, and learning-and-development managers. Two interviews use this guide in Cycle 1 (Section 3), the remainder in Cycle 2. Duration approximately 30 minutes. The guide is role-split in use: every participant is asked the opening and closing questions, while questions 3 to 6 are put to trainers and subject-matter experts and questions 7 to 9 to learning-and-development managers, so that a single interview covers eight or nine questions rather than all twelve. The interviewer opens by restating the study’s purpose and confirming written informed consent, and reminds the participant that the interview is not audio-recorded and is captured in written notes, that responses are treated confidentially and pseudonymised at write-up (Section 6A), that the write-up is returned to them for confirmation before use, and that withdrawal is open up to the start of analysis. Probes in parentheses are used flexibly and sparingly given the duration; the guide is a scaffold, not a script.</w:t>
      </w:r>
    </w:p>
    <w:p>
      <w:pPr>
        <w:spacing w:after="120" w:line="320"/>
      </w:pPr>
      <w:r>
        <w:rPr>
          <w:b/>
          <w:bCs/>
        </w:rPr>
        <w:t xml:space="preserve">Opening (all participants)</w:t>
      </w:r>
    </w:p>
    <w:p>
      <w:pPr>
        <w:spacing w:after="80" w:line="320"/>
        <w:ind w:left="340" w:hanging="170"/>
      </w:pPr>
      <w:r>
        <w:t xml:space="preserve">• </w:t>
      </w:r>
      <w:r>
        <w:t xml:space="preserve">1. Please describe your role and your experience with finance training in your organization.</w:t>
      </w:r>
    </w:p>
    <w:p>
      <w:pPr>
        <w:spacing w:after="80" w:line="320"/>
        <w:ind w:left="340" w:hanging="170"/>
      </w:pPr>
      <w:r>
        <w:t xml:space="preserve">• </w:t>
      </w:r>
      <w:r>
        <w:t xml:space="preserve">2. How were you involved with this program, as a deliverer, adapter, or decision-maker?</w:t>
      </w:r>
    </w:p>
    <w:p>
      <w:pPr>
        <w:spacing w:after="120" w:line="320"/>
      </w:pPr>
      <w:r>
        <w:rPr>
          <w:b/>
          <w:bCs/>
        </w:rPr>
        <w:t xml:space="preserve">AI-designed artifacts and the design partnership (trainers and SMEs)</w:t>
      </w:r>
    </w:p>
    <w:p>
      <w:pPr>
        <w:spacing w:after="80" w:line="320"/>
        <w:ind w:left="340" w:hanging="170"/>
      </w:pPr>
      <w:r>
        <w:t xml:space="preserve">• </w:t>
      </w:r>
      <w:r>
        <w:t xml:space="preserve">3. Walk me through how you used the AI-designed materials in your delivery. What did you keep exactly as designed, what did you adapt, and what did you overrule entirely? What made an AI suggestion trustworthy, or not?</w:t>
      </w:r>
    </w:p>
    <w:p>
      <w:pPr>
        <w:spacing w:after="80" w:line="320"/>
        <w:ind w:left="340" w:hanging="170"/>
      </w:pPr>
      <w:r>
        <w:t xml:space="preserve">• </w:t>
      </w:r>
      <w:r>
        <w:t xml:space="preserve">4. Component by component (presentations, instructor manual, case studies, workshops, assessments), where did the materials help you most, and where did they hinder you? What did you change after your first delivery, and why?</w:t>
      </w:r>
    </w:p>
    <w:p>
      <w:pPr>
        <w:spacing w:after="80" w:line="320"/>
        <w:ind w:left="340" w:hanging="170"/>
      </w:pPr>
      <w:r>
        <w:t xml:space="preserve">• </w:t>
      </w:r>
      <w:r>
        <w:t xml:space="preserve">5. Compared with materials you have built yourself, or received from human designers, how do these differ in quality, coherence, and relevance to your learners?</w:t>
      </w:r>
    </w:p>
    <w:p>
      <w:pPr>
        <w:spacing w:after="80" w:line="320"/>
        <w:ind w:left="340" w:hanging="170"/>
      </w:pPr>
      <w:r>
        <w:t xml:space="preserve">• </w:t>
      </w:r>
      <w:r>
        <w:t xml:space="preserve">6. Tell me about one classroom moment where an AI-designed element clearly worked, and one where it clearly failed. What happened?</w:t>
      </w:r>
    </w:p>
    <w:p>
      <w:pPr>
        <w:spacing w:after="120" w:line="320"/>
      </w:pPr>
      <w:r>
        <w:rPr>
          <w:b/>
          <w:bCs/>
        </w:rPr>
        <w:t xml:space="preserve">Adoption and governance (learning-and-development managers)</w:t>
      </w:r>
    </w:p>
    <w:p>
      <w:pPr>
        <w:spacing w:after="80" w:line="320"/>
        <w:ind w:left="340" w:hanging="170"/>
      </w:pPr>
      <w:r>
        <w:t xml:space="preserve">• </w:t>
      </w:r>
      <w:r>
        <w:t xml:space="preserve">7. What would it take for your organization to adopt AI-designed training at scale? (Probe: perceived usefulness, ease of integration, management support, budget, existing vendor arrangements.)</w:t>
      </w:r>
    </w:p>
    <w:p>
      <w:pPr>
        <w:spacing w:after="80" w:line="320"/>
        <w:ind w:left="340" w:hanging="170"/>
      </w:pPr>
      <w:r>
        <w:t xml:space="preserve">• </w:t>
      </w:r>
      <w:r>
        <w:t xml:space="preserve">8. Who would need to approve such adoption, and what concerns would they raise? (Probe: quality assurance, accountability for errors, data protection and PDPL, organizational reputation.)</w:t>
      </w:r>
    </w:p>
    <w:p>
      <w:pPr>
        <w:spacing w:after="80" w:line="320"/>
        <w:ind w:left="340" w:hanging="170"/>
      </w:pPr>
      <w:r>
        <w:t xml:space="preserve">• </w:t>
      </w:r>
      <w:r>
        <w:t xml:space="preserve">9. What disclosure do you expect about AI’s role in producing training your staff receive, and who should be accountable for the content?</w:t>
      </w:r>
    </w:p>
    <w:p>
      <w:pPr>
        <w:spacing w:after="120" w:line="320"/>
      </w:pPr>
      <w:r>
        <w:rPr>
          <w:b/>
          <w:bCs/>
        </w:rPr>
        <w:t xml:space="preserve">Perceived outcomes and closing (all participants)</w:t>
      </w:r>
    </w:p>
    <w:p>
      <w:pPr>
        <w:spacing w:after="80" w:line="320"/>
        <w:ind w:left="340" w:hanging="170"/>
      </w:pPr>
      <w:r>
        <w:t xml:space="preserve">• </w:t>
      </w:r>
      <w:r>
        <w:t xml:space="preserve">10. What changes, in knowledge, confidence, or workplace behavior, have you observed in participants after the program? What evidence would convince you that it builds financial competence?</w:t>
      </w:r>
    </w:p>
    <w:p>
      <w:pPr>
        <w:spacing w:after="80" w:line="320"/>
        <w:ind w:left="340" w:hanging="170"/>
      </w:pPr>
      <w:r>
        <w:t xml:space="preserve">• </w:t>
      </w:r>
      <w:r>
        <w:t xml:space="preserve">11. If you could change one thing about the program, or about how AI is used in designing it, what would it be?</w:t>
      </w:r>
    </w:p>
    <w:p>
      <w:pPr>
        <w:spacing w:after="80" w:line="320"/>
        <w:ind w:left="340" w:hanging="170"/>
      </w:pPr>
      <w:r>
        <w:t xml:space="preserve">• </w:t>
      </w:r>
      <w:r>
        <w:t xml:space="preserve">12. Is there anything important we have not talked about?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60"/>
      <w:outlineLvl w:val="0"/>
    </w:pPr>
    <w:rPr>
      <w:rFonts w:ascii="Times New Roman" w:cs="Times New Roman" w:eastAsia="Times New Roman" w:hAnsi="Times New Roman"/>
      <w:b/>
      <w:bCs/>
      <w:color w:val="1F3864"/>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Protocol and Data Management Plan v1.5</dc:title>
  <dc:creator>Aiman S. Sadeq</dc:creator>
  <cp:lastModifiedBy>Un-named</cp:lastModifiedBy>
  <cp:revision>1</cp:revision>
  <dcterms:created xsi:type="dcterms:W3CDTF">2026-09-01T14:28:24.074Z</dcterms:created>
  <dcterms:modified xsi:type="dcterms:W3CDTF">2026-09-01T14:28:24.075Z</dcterms:modified>
</cp:coreProperties>
</file>

<file path=docProps/custom.xml><?xml version="1.0" encoding="utf-8"?>
<Properties xmlns="http://schemas.openxmlformats.org/officeDocument/2006/custom-properties" xmlns:vt="http://schemas.openxmlformats.org/officeDocument/2006/docPropsVTypes"/>
</file>