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01013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b/>
                <w:bCs/>
                <w:color w:val="5391D5"/>
                <w:spacing w:val="30"/>
                <w:sz w:val="16"/>
                <w:szCs w:val="16"/>
              </w:rPr>
              <w:t xml:space="preserve">VIFM CALIBER  |  ASSESSMENT SCIENCE</w:t>
            </w:r>
          </w:p>
          <w:p>
            <w:pPr>
              <w:spacing w:after="4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40"/>
                <w:szCs w:val="40"/>
              </w:rPr>
              <w:t xml:space="preserve">Cognitive Ability Assessment</w:t>
            </w:r>
          </w:p>
          <w:p>
            <w:r>
              <w:rPr>
                <w:rFonts w:ascii="Open Sans" w:cs="Open Sans" w:eastAsia="Open Sans" w:hAnsi="Open Sans"/>
                <w:i/>
                <w:iCs/>
                <w:color w:val="D6E4F5"/>
                <w:sz w:val="20"/>
                <w:szCs w:val="20"/>
              </w:rPr>
              <w:t xml:space="preserve">How VIFM measures reasoning ability - the science behind what is popularly called "IQ"</w:t>
            </w:r>
          </w:p>
        </w:tc>
      </w:tr>
    </w:tbl>
    <w:p>
      <w:pPr>
        <w:spacing w:after="60"/>
      </w:pPr>
    </w:p>
    <w:p>
      <w:pPr>
        <w:spacing w:after="80" w:line="252"/>
      </w:pPr>
      <w:r>
        <w:rPr>
          <w:rFonts w:ascii="Open Sans" w:cs="Open Sans" w:eastAsia="Open Sans" w:hAnsi="Open Sans"/>
          <w:b/>
          <w:bCs/>
          <w:color w:val="010131"/>
          <w:sz w:val="19"/>
          <w:szCs w:val="19"/>
        </w:rPr>
        <w:t xml:space="preserve">You asked: can VIFM assess IQ? 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Yes. What is popularly called "IQ" is known in assessment science as </w:t>
      </w:r>
      <w:r>
        <w:rPr>
          <w:rFonts w:ascii="Open Sans" w:cs="Open Sans" w:eastAsia="Open Sans" w:hAnsi="Open Sans"/>
          <w:i/>
          <w:iCs/>
          <w:color w:val="111232"/>
          <w:sz w:val="19"/>
          <w:szCs w:val="19"/>
        </w:rPr>
        <w:t xml:space="preserve">general mental ability (g)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 - a person’s capacity to reason with numbers, language, patterns and rules. Decades of research show it is the single strongest "can-do" predictor of job performance and learning speed. VIFM measures it through </w:t>
      </w:r>
      <w:r>
        <w:rPr>
          <w:rFonts w:ascii="Open Sans" w:cs="Open Sans" w:eastAsia="Open Sans" w:hAnsi="Open Sans"/>
          <w:b/>
          <w:bCs/>
          <w:color w:val="010131"/>
          <w:sz w:val="19"/>
          <w:szCs w:val="19"/>
        </w:rPr>
        <w:t xml:space="preserve">VIFM Logica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, the cognitive ability instrument built into the Caliber platform.</w:t>
      </w:r>
    </w:p>
    <w:p>
      <w:pPr>
        <w:pBdr>
          <w:bottom w:val="single" w:color="5391D5" w:sz="6" w:space="2"/>
        </w:pBdr>
        <w:spacing w:after="60" w:before="160"/>
      </w:pPr>
      <w:r>
        <w:rPr>
          <w:rFonts w:ascii="Open Sans" w:cs="Open Sans" w:eastAsia="Open Sans" w:hAnsi="Open Sans"/>
          <w:b/>
          <w:bCs/>
          <w:color w:val="010131"/>
          <w:spacing w:val="20"/>
          <w:sz w:val="20"/>
          <w:szCs w:val="20"/>
        </w:rPr>
        <w:t xml:space="preserve">WHAT LOGICA MEASURES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Numerical reasoning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 - number series, ratios, and drawing correct conclusions from tables and charts.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Verbal reasoning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 - comprehension, analogies, and evaluating what does or does not follow from a passage.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Inductive reasoning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 - inferring the rule from patterns and matrices; a core marker of fluid intelligence.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Deductive reasoning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 - applying rules and premises to reach the logically necessary conclusion.</w:t>
      </w:r>
    </w:p>
    <w:p>
      <w:pPr>
        <w:spacing w:after="80" w:before="40" w:line="252"/>
      </w:pP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Across the four subtests we report a </w:t>
      </w: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general reasoning (g) composite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 - the same underlying ability an IQ test estimates. Items are authored for GCC banking and government professionals, in context, with one defensible answer each.</w:t>
      </w:r>
    </w:p>
    <w:p>
      <w:pPr>
        <w:pBdr>
          <w:bottom w:val="single" w:color="5391D5" w:sz="6" w:space="2"/>
        </w:pBdr>
        <w:spacing w:after="60" w:before="160"/>
      </w:pPr>
      <w:r>
        <w:rPr>
          <w:rFonts w:ascii="Open Sans" w:cs="Open Sans" w:eastAsia="Open Sans" w:hAnsi="Open Sans"/>
          <w:b/>
          <w:bCs/>
          <w:color w:val="010131"/>
          <w:spacing w:val="20"/>
          <w:sz w:val="20"/>
          <w:szCs w:val="20"/>
        </w:rPr>
        <w:t xml:space="preserve">WHY PROFESSIONALS SAY "COGNITIVE ABILITY" - NOT "IQ"</w:t>
      </w:r>
    </w:p>
    <w:p>
      <w:pPr>
        <w:spacing w:after="80" w:line="252"/>
      </w:pP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"IQ" is a clinical label tied to licensed clinical instruments administered by psychologists. Modern employers - and every leading assessment publisher (SHL, Korn Ferry, Saville) - measure the identical construct as </w:t>
      </w: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cognitive ability testing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: occupationally framed, norm-referenced against working professionals, and legally defensible in selection decisions. You lose nothing in rigour; you gain a result that stands up to scrutiny in front of candidates, boards and regulators.</w:t>
      </w:r>
    </w:p>
    <w:p>
      <w:pPr>
        <w:pBdr>
          <w:bottom w:val="single" w:color="5391D5" w:sz="6" w:space="2"/>
        </w:pBdr>
        <w:spacing w:after="60" w:before="160"/>
      </w:pPr>
      <w:r>
        <w:rPr>
          <w:rFonts w:ascii="Open Sans" w:cs="Open Sans" w:eastAsia="Open Sans" w:hAnsi="Open Sans"/>
          <w:b/>
          <w:bCs/>
          <w:color w:val="010131"/>
          <w:spacing w:val="20"/>
          <w:sz w:val="20"/>
          <w:szCs w:val="20"/>
        </w:rPr>
        <w:t xml:space="preserve">YOUR SCORE - AND THE ROAD TO THE FAMILIAR 100-POINT SCALE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5391D5" w:sz="4"/>
              <w:left w:val="single" w:color="5391D5" w:sz="4"/>
              <w:bottom w:val="single" w:color="5391D5" w:sz="4"/>
              <w:right w:val="single" w:color="5391D5" w:sz="4"/>
            </w:tcBorders>
            <w:shd w:fill="F2F6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b/>
                <w:bCs/>
                <w:color w:val="010131"/>
                <w:sz w:val="19"/>
                <w:szCs w:val="19"/>
              </w:rPr>
              <w:t xml:space="preserve">PHASE 1 - AVAILABLE NOW (Indicative)</w:t>
            </w:r>
          </w:p>
          <w:p>
            <w:pPr>
              <w:spacing w:after="30" w:line="240"/>
            </w:pPr>
            <w:r>
              <w:rPr>
                <w:rFonts w:ascii="Open Sans" w:cs="Open Sans" w:eastAsia="Open Sans" w:hAnsi="Open Sans"/>
                <w:color w:val="111232"/>
                <w:sz w:val="18"/>
                <w:szCs w:val="18"/>
              </w:rPr>
              <w:t xml:space="preserve">Four reasoning subtests + general composite (0-100).</w:t>
            </w:r>
          </w:p>
          <w:p>
            <w:pPr>
              <w:spacing w:after="30" w:line="240"/>
            </w:pPr>
            <w:r>
              <w:rPr>
                <w:rFonts w:ascii="Open Sans" w:cs="Open Sans" w:eastAsia="Open Sans" w:hAnsi="Open Sans"/>
                <w:color w:val="111232"/>
                <w:sz w:val="18"/>
                <w:szCs w:val="18"/>
              </w:rPr>
              <w:t xml:space="preserve">Clear interpretation bands with plain-language narratives.</w:t>
            </w:r>
          </w:p>
          <w:p>
            <w:pPr>
              <w:spacing w:after="30" w:line="240"/>
            </w:pPr>
            <w:r>
              <w:rPr>
                <w:rFonts w:ascii="Open Sans" w:cs="Open Sans" w:eastAsia="Open Sans" w:hAnsi="Open Sans"/>
                <w:color w:val="111232"/>
                <w:sz w:val="18"/>
                <w:szCs w:val="18"/>
              </w:rPr>
              <w:t xml:space="preserve">Professional PDF report per candidate, integrated with your Assessment Center results.</w:t>
            </w:r>
          </w:p>
        </w:tc>
        <w:tc>
          <w:tcPr>
            <w:tcW w:type="dxa" w:w="5233"/>
            <w:tcBorders>
              <w:top w:val="single" w:color="5391D5" w:sz="4"/>
              <w:left w:val="single" w:color="5391D5" w:sz="4"/>
              <w:bottom w:val="single" w:color="5391D5" w:sz="4"/>
              <w:right w:val="single" w:color="5391D5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b/>
                <w:bCs/>
                <w:color w:val="010131"/>
                <w:sz w:val="19"/>
                <w:szCs w:val="19"/>
              </w:rPr>
              <w:t xml:space="preserve">PHASE 2 - NORM-REFERENCED (Your cohorts calibrate it)</w:t>
            </w:r>
          </w:p>
          <w:p>
            <w:pPr>
              <w:spacing w:after="30" w:line="240"/>
            </w:pPr>
            <w:r>
              <w:rPr>
                <w:rFonts w:ascii="Open Sans" w:cs="Open Sans" w:eastAsia="Open Sans" w:hAnsi="Open Sans"/>
                <w:color w:val="111232"/>
                <w:sz w:val="18"/>
                <w:szCs w:val="18"/>
              </w:rPr>
              <w:t xml:space="preserve">VIFM Reasoning Index on the familiar IQ metric: mean 100, SD 15.</w:t>
            </w:r>
          </w:p>
          <w:p>
            <w:pPr>
              <w:spacing w:after="30" w:line="240"/>
            </w:pPr>
            <w:r>
              <w:rPr>
                <w:rFonts w:ascii="Open Sans" w:cs="Open Sans" w:eastAsia="Open Sans" w:hAnsi="Open Sans"/>
                <w:color w:val="111232"/>
                <w:sz w:val="18"/>
                <w:szCs w:val="18"/>
              </w:rPr>
              <w:t xml:space="preserve">Percentile and 1-10 sten band against a GCC professional norm group.</w:t>
            </w:r>
          </w:p>
          <w:p>
            <w:pPr>
              <w:spacing w:after="30" w:line="240"/>
            </w:pPr>
            <w:r>
              <w:rPr>
                <w:rFonts w:ascii="Open Sans" w:cs="Open Sans" w:eastAsia="Open Sans" w:hAnsi="Open Sans"/>
                <w:color w:val="111232"/>
                <w:sz w:val="18"/>
                <w:szCs w:val="18"/>
              </w:rPr>
              <w:t xml:space="preserve">Unlocked only when reliability and norm-sample evidence meet published thresholds.</w:t>
            </w:r>
          </w:p>
        </w:tc>
      </w:tr>
    </w:tbl>
    <w:p>
      <w:pPr>
        <w:spacing w:after="80" w:before="80" w:line="240"/>
      </w:pPr>
      <w:r>
        <w:rPr>
          <w:rFonts w:ascii="Open Sans" w:cs="Open Sans" w:eastAsia="Open Sans" w:hAnsi="Open Sans"/>
          <w:i/>
          <w:iCs/>
          <w:color w:val="5A5A6E"/>
          <w:sz w:val="18"/>
          <w:szCs w:val="18"/>
        </w:rPr>
        <w:t xml:space="preserve">The gate is deliberate: percentiles are never reported before the evidence supports them. Your early cohorts receive indicative results immediately, and their pooled, anonymised data helps build the GCC professional norm base - a regional benchmark the global publishers do not have.</w:t>
      </w:r>
    </w:p>
    <w:p>
      <w:pPr>
        <w:pBdr>
          <w:bottom w:val="single" w:color="5391D5" w:sz="6" w:space="2"/>
        </w:pBdr>
        <w:spacing w:after="60" w:before="160"/>
      </w:pPr>
      <w:r>
        <w:rPr>
          <w:rFonts w:ascii="Open Sans" w:cs="Open Sans" w:eastAsia="Open Sans" w:hAnsi="Open Sans"/>
          <w:b/>
          <w:bCs/>
          <w:color w:val="010131"/>
          <w:spacing w:val="20"/>
          <w:sz w:val="20"/>
          <w:szCs w:val="20"/>
        </w:rPr>
        <w:t xml:space="preserve">THE SAFEGUARDS YOU CAN QUOTE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One input, never a verdict. 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Reasoning scores inform human judgement in shortlisting, development and succession - they are never an automatic pass/fail gate.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Predicts, not measures, behaviour. 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A strong score means related competencies should develop readily; observed behaviour is measured by the Assessment Center itself.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Open Sans" w:cs="Open Sans" w:eastAsia="Open Sans" w:hAnsi="Open Sans"/>
          <w:b/>
          <w:bCs/>
          <w:color w:val="111232"/>
          <w:sz w:val="19"/>
          <w:szCs w:val="19"/>
        </w:rPr>
        <w:t xml:space="preserve">Honest reporting. </w:t>
      </w:r>
      <w:r>
        <w:rPr>
          <w:rFonts w:ascii="Open Sans" w:cs="Open Sans" w:eastAsia="Open Sans" w:hAnsi="Open Sans"/>
          <w:color w:val="111232"/>
          <w:sz w:val="19"/>
          <w:szCs w:val="19"/>
        </w:rPr>
        <w:t xml:space="preserve">Every report carries its evidence tier on its face, so it can never over-claim its own rigour.</w:t>
      </w:r>
    </w:p>
    <w:p>
      <w:pPr>
        <w:pBdr>
          <w:top w:val="single" w:color="010131" w:sz="6" w:space="4"/>
        </w:pBdr>
        <w:spacing w:before="160"/>
      </w:pPr>
      <w:r>
        <w:rPr>
          <w:rFonts w:ascii="Open Sans" w:cs="Open Sans" w:eastAsia="Open Sans" w:hAnsi="Open Sans"/>
          <w:color w:val="5A5A6E"/>
          <w:sz w:val="16"/>
          <w:szCs w:val="16"/>
        </w:rPr>
        <w:t xml:space="preserve">VIFM - Virginia Institute of Finance and Management   |   Caliber Assessment Center Platform   |   caliber.viftraining.com</w:t>
      </w:r>
    </w:p>
    <w:sectPr>
      <w:pgSz w:w="11906" w:h="16838" w:orient="portrait"/>
      <w:pgMar w:top="6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  <w:rPr>
        <w:color w:val="5391D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11123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2026-07-19T11:57:42.079Z</dcterms:created>
  <dcterms:modified xsi:type="dcterms:W3CDTF">2026-07-19T11:57:42.080Z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