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ACF44" w14:textId="77777777" w:rsidR="00087F79" w:rsidRPr="00087F79" w:rsidRDefault="00087F79" w:rsidP="00087F79">
      <w:r w:rsidRPr="00087F79">
        <w:t>5. The bar for "top professional quality"</w:t>
      </w:r>
    </w:p>
    <w:p w14:paraId="680E45A2" w14:textId="77777777" w:rsidR="00087F79" w:rsidRPr="00087F79" w:rsidRDefault="00087F79" w:rsidP="00087F79">
      <w:r w:rsidRPr="00087F79">
        <w:t>Professional psychometric tests are judged against published standards: AERA/APA/NCME </w:t>
      </w:r>
      <w:r w:rsidRPr="00087F79">
        <w:rPr>
          <w:i/>
          <w:iCs/>
        </w:rPr>
        <w:t>Standards for Educational and Psychological Testing</w:t>
      </w:r>
      <w:r w:rsidRPr="00087F79">
        <w:t>, ISO 10667 (you already align), ITC guidelines (test use, computer/internet delivery, </w:t>
      </w:r>
      <w:r w:rsidRPr="00087F79">
        <w:rPr>
          <w:i/>
          <w:iCs/>
        </w:rPr>
        <w:t>test adaptation/translation</w:t>
      </w:r>
      <w:r w:rsidRPr="00087F79">
        <w:t>), and EFPA/BPS test-review criteria. Concretely, a top-tier edition needs:</w:t>
      </w:r>
    </w:p>
    <w:p w14:paraId="1BFBFB39" w14:textId="77777777" w:rsidR="00946D4D" w:rsidRDefault="00946D4D"/>
    <w:sectPr w:rsidR="00946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1BD"/>
    <w:rsid w:val="00087F79"/>
    <w:rsid w:val="005A7858"/>
    <w:rsid w:val="00946D4D"/>
    <w:rsid w:val="00C42FE0"/>
    <w:rsid w:val="00E1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9E066E-4194-4BB4-BEA4-CC69588B9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 Sadeq</dc:creator>
  <cp:keywords/>
  <dc:description/>
  <cp:lastModifiedBy>Aiman Sadeq</cp:lastModifiedBy>
  <cp:revision>2</cp:revision>
  <dcterms:created xsi:type="dcterms:W3CDTF">2026-06-05T10:46:00Z</dcterms:created>
  <dcterms:modified xsi:type="dcterms:W3CDTF">2026-06-05T10:46:00Z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16b3c507-8228-4fc4-9bbe-14bc83f416c5</vt:lpwstr>
  </property>
</Properties>
</file>