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0131"/>
        </w:rPr>
        <w:t>VIFM Caliber - Change &amp; Status Report</w:t>
      </w:r>
    </w:p>
    <w:p>
      <w:r>
        <w:rPr>
          <w:b w:val="0"/>
          <w:i/>
          <w:color w:val="555555"/>
        </w:rPr>
        <w:t>Work completed 20-21 June 2026 - changes across all portals, with fix status.</w:t>
      </w:r>
    </w:p>
    <w:p>
      <w:r>
        <w:rPr>
          <w:b w:val="0"/>
          <w:i w:val="0"/>
          <w:color w:val="555555"/>
          <w:sz w:val="18"/>
        </w:rPr>
        <w:t>Prepared for: Aiman Sadeq    Platform: caliber.viftraining.com (Render) + Supabase</w:t>
      </w:r>
    </w:p>
    <w:p>
      <w:pPr>
        <w:pStyle w:val="Heading1"/>
      </w:pPr>
      <w:r>
        <w:rPr>
          <w:color w:val="5391D5"/>
        </w:rPr>
        <w:t>Deployment status (read first)</w:t>
      </w:r>
    </w:p>
    <w:p>
      <w:r>
        <w:rPr>
          <w:b/>
          <w:i w:val="0"/>
        </w:rPr>
        <w:t>All code changes below are committed and pushed to the master branch but are NOT YET LIVE on caliber.viftraining.com. Render deploys are MANUAL - a push does not auto-deploy. To make everything below live, trigger: Render -&gt; the vifm-assessment-center service -&gt; Manual Deploy -&gt; "Deploy latest commit".</w:t>
      </w:r>
    </w:p>
    <w:p>
      <w:r>
        <w:rPr>
          <w:b w:val="0"/>
          <w:i w:val="0"/>
          <w:color w:val="333333"/>
        </w:rPr>
        <w:t>Two database migrations are already applied to the PRODUCTION database (independent of the code deploy): 00143 (ARC voucher question-count lever) and 00144 (Pre-Hire vouchers). Because the new tables are additive, deploying the code is backward-compatible and safe.</w:t>
      </w:r>
    </w:p>
    <w:p>
      <w:pPr>
        <w:pStyle w:val="Heading1"/>
      </w:pPr>
      <w:r>
        <w:rPr>
          <w:color w:val="5391D5"/>
        </w:rPr>
        <w:t>Summary of changes by portal / module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Module</w:t>
            </w:r>
          </w:p>
        </w:tc>
        <w:tc>
          <w:tcPr>
            <w:tcW w:type="dxa" w:w="2160"/>
          </w:tcPr>
          <w:p>
            <w:r/>
            <w:r>
              <w:rPr>
                <w:b/>
                <w:sz w:val="19"/>
              </w:rPr>
              <w:t>Change</w:t>
            </w:r>
          </w:p>
        </w:tc>
        <w:tc>
          <w:tcPr>
            <w:tcW w:type="dxa" w:w="2160"/>
          </w:tcPr>
          <w:p>
            <w:r/>
            <w:r>
              <w:rPr>
                <w:b/>
                <w:sz w:val="19"/>
              </w:rPr>
              <w:t>Status</w:t>
            </w:r>
          </w:p>
        </w:tc>
        <w:tc>
          <w:tcPr>
            <w:tcW w:type="dxa" w:w="2160"/>
          </w:tcPr>
          <w:p>
            <w:r/>
            <w:r>
              <w:rPr>
                <w:b/>
                <w:sz w:val="19"/>
              </w:rPr>
              <w:t>Live on production?</w:t>
            </w:r>
          </w:p>
        </w:tc>
      </w:tr>
      <w:tr>
        <w:tc>
          <w:tcPr>
            <w:tcW w:type="dxa" w:w="2160"/>
          </w:tcPr>
          <w:p>
            <w:r>
              <w:rPr>
                <w:sz w:val="18"/>
              </w:rPr>
              <w:t>Cross-portal branding</w:t>
            </w:r>
          </w:p>
        </w:tc>
        <w:tc>
          <w:tcPr>
            <w:tcW w:type="dxa" w:w="2160"/>
          </w:tcPr>
          <w:p>
            <w:r>
              <w:rPr>
                <w:sz w:val="18"/>
              </w:rPr>
              <w:t>Cognitive assessment renamed to "Mentium" (EN + AR)</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Cross-portal branding</w:t>
            </w:r>
          </w:p>
        </w:tc>
        <w:tc>
          <w:tcPr>
            <w:tcW w:type="dxa" w:w="2160"/>
          </w:tcPr>
          <w:p>
            <w:r>
              <w:rPr>
                <w:sz w:val="18"/>
              </w:rPr>
              <w:t>Technical Assessment portal renamed to "Techno" (EN + AR)</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AI Readiness Compass</w:t>
            </w:r>
          </w:p>
        </w:tc>
        <w:tc>
          <w:tcPr>
            <w:tcW w:type="dxa" w:w="2160"/>
          </w:tcPr>
          <w:p>
            <w:r>
              <w:rPr>
                <w:sz w:val="18"/>
              </w:rPr>
              <w:t>Two distinct reports: Talent Acquisition vs Talent Development</w:t>
            </w:r>
          </w:p>
        </w:tc>
        <w:tc>
          <w:tcPr>
            <w:tcW w:type="dxa" w:w="2160"/>
          </w:tcPr>
          <w:p>
            <w:r/>
            <w:r>
              <w:rPr>
                <w:color w:val="047857"/>
                <w:sz w:val="18"/>
              </w:rPr>
              <w:t>Done (4 PDF variants verified)</w:t>
            </w:r>
          </w:p>
        </w:tc>
        <w:tc>
          <w:tcPr>
            <w:tcW w:type="dxa" w:w="2160"/>
          </w:tcPr>
          <w:p>
            <w:r>
              <w:rPr>
                <w:sz w:val="18"/>
              </w:rPr>
              <w:t>No - awaiting deploy</w:t>
            </w:r>
          </w:p>
        </w:tc>
      </w:tr>
      <w:tr>
        <w:tc>
          <w:tcPr>
            <w:tcW w:type="dxa" w:w="2160"/>
          </w:tcPr>
          <w:p>
            <w:r>
              <w:rPr>
                <w:sz w:val="18"/>
              </w:rPr>
              <w:t>AI Readiness Compass</w:t>
            </w:r>
          </w:p>
        </w:tc>
        <w:tc>
          <w:tcPr>
            <w:tcW w:type="dxa" w:w="2160"/>
          </w:tcPr>
          <w:p>
            <w:r>
              <w:rPr>
                <w:sz w:val="18"/>
              </w:rPr>
              <w:t>Talent-lens badge at the top of every ARC report</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AI Readiness Compass</w:t>
            </w:r>
          </w:p>
        </w:tc>
        <w:tc>
          <w:tcPr>
            <w:tcW w:type="dxa" w:w="2160"/>
          </w:tcPr>
          <w:p>
            <w:r>
              <w:rPr>
                <w:sz w:val="18"/>
              </w:rPr>
              <w:t>Overall-score bug fixed (unanswered factors no longer drag the score)</w:t>
            </w:r>
          </w:p>
        </w:tc>
        <w:tc>
          <w:tcPr>
            <w:tcW w:type="dxa" w:w="2160"/>
          </w:tcPr>
          <w:p>
            <w:r/>
            <w:r>
              <w:rPr>
                <w:color w:val="047857"/>
                <w:sz w:val="18"/>
              </w:rPr>
              <w:t>Fixed</w:t>
            </w:r>
          </w:p>
        </w:tc>
        <w:tc>
          <w:tcPr>
            <w:tcW w:type="dxa" w:w="2160"/>
          </w:tcPr>
          <w:p>
            <w:r>
              <w:rPr>
                <w:sz w:val="18"/>
              </w:rPr>
              <w:t>No - awaiting deploy</w:t>
            </w:r>
          </w:p>
        </w:tc>
      </w:tr>
      <w:tr>
        <w:tc>
          <w:tcPr>
            <w:tcW w:type="dxa" w:w="2160"/>
          </w:tcPr>
          <w:p>
            <w:r>
              <w:rPr>
                <w:sz w:val="18"/>
              </w:rPr>
              <w:t>AI Readiness Compass</w:t>
            </w:r>
          </w:p>
        </w:tc>
        <w:tc>
          <w:tcPr>
            <w:tcW w:type="dxa" w:w="2160"/>
          </w:tcPr>
          <w:p>
            <w:r>
              <w:rPr>
                <w:sz w:val="18"/>
              </w:rPr>
              <w:t>Per-client voucher question-count lever (Full 60 / 48 / 36 / 24)</w:t>
            </w:r>
          </w:p>
        </w:tc>
        <w:tc>
          <w:tcPr>
            <w:tcW w:type="dxa" w:w="2160"/>
          </w:tcPr>
          <w:p>
            <w:r/>
            <w:r>
              <w:rPr>
                <w:color w:val="047857"/>
                <w:sz w:val="18"/>
              </w:rPr>
              <w:t>Done</w:t>
            </w:r>
          </w:p>
        </w:tc>
        <w:tc>
          <w:tcPr>
            <w:tcW w:type="dxa" w:w="2160"/>
          </w:tcPr>
          <w:p>
            <w:r>
              <w:rPr>
                <w:sz w:val="18"/>
              </w:rPr>
              <w:t>DB migration 00143 applied; code awaiting deploy</w:t>
            </w:r>
          </w:p>
        </w:tc>
      </w:tr>
      <w:tr>
        <w:tc>
          <w:tcPr>
            <w:tcW w:type="dxa" w:w="2160"/>
          </w:tcPr>
          <w:p>
            <w:r>
              <w:rPr>
                <w:sz w:val="18"/>
              </w:rPr>
              <w:t>AI Readiness Compass</w:t>
            </w:r>
          </w:p>
        </w:tc>
        <w:tc>
          <w:tcPr>
            <w:tcW w:type="dxa" w:w="2160"/>
          </w:tcPr>
          <w:p>
            <w:r>
              <w:rPr>
                <w:sz w:val="18"/>
              </w:rPr>
              <w:t>Removed "Practice snapshot"; admin-only "randomize answers" demo toggle</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AI Readiness Compass</w:t>
            </w:r>
          </w:p>
        </w:tc>
        <w:tc>
          <w:tcPr>
            <w:tcW w:type="dxa" w:w="2160"/>
          </w:tcPr>
          <w:p>
            <w:r>
              <w:rPr>
                <w:sz w:val="18"/>
              </w:rPr>
              <w:t>Staff presentation toggle - preview TA &amp; TD framing from one sitting</w:t>
            </w:r>
          </w:p>
        </w:tc>
        <w:tc>
          <w:tcPr>
            <w:tcW w:type="dxa" w:w="2160"/>
          </w:tcPr>
          <w:p>
            <w:r/>
            <w:r>
              <w:rPr>
                <w:color w:val="047857"/>
                <w:sz w:val="18"/>
              </w:rPr>
              <w:t>Done (verified live)</w:t>
            </w:r>
          </w:p>
        </w:tc>
        <w:tc>
          <w:tcPr>
            <w:tcW w:type="dxa" w:w="2160"/>
          </w:tcPr>
          <w:p>
            <w:r>
              <w:rPr>
                <w:sz w:val="18"/>
              </w:rPr>
              <w:t>No - awaiting deploy</w:t>
            </w:r>
          </w:p>
        </w:tc>
      </w:tr>
      <w:tr>
        <w:tc>
          <w:tcPr>
            <w:tcW w:type="dxa" w:w="2160"/>
          </w:tcPr>
          <w:p>
            <w:r>
              <w:rPr>
                <w:sz w:val="18"/>
              </w:rPr>
              <w:t>Methodology briefs</w:t>
            </w:r>
          </w:p>
        </w:tc>
        <w:tc>
          <w:tcPr>
            <w:tcW w:type="dxa" w:w="2160"/>
          </w:tcPr>
          <w:p>
            <w:r>
              <w:rPr>
                <w:sz w:val="18"/>
              </w:rPr>
              <w:t>Downloadable branded PDF for all 10 services + public /evidence hub</w:t>
            </w:r>
          </w:p>
        </w:tc>
        <w:tc>
          <w:tcPr>
            <w:tcW w:type="dxa" w:w="2160"/>
          </w:tcPr>
          <w:p>
            <w:r/>
            <w:r>
              <w:rPr>
                <w:color w:val="047857"/>
                <w:sz w:val="18"/>
              </w:rPr>
              <w:t>Done (all 10 verified)</w:t>
            </w:r>
          </w:p>
        </w:tc>
        <w:tc>
          <w:tcPr>
            <w:tcW w:type="dxa" w:w="2160"/>
          </w:tcPr>
          <w:p>
            <w:r>
              <w:rPr>
                <w:sz w:val="18"/>
              </w:rPr>
              <w:t>No - awaiting deploy</w:t>
            </w:r>
          </w:p>
        </w:tc>
      </w:tr>
      <w:tr>
        <w:tc>
          <w:tcPr>
            <w:tcW w:type="dxa" w:w="2160"/>
          </w:tcPr>
          <w:p>
            <w:r>
              <w:rPr>
                <w:sz w:val="18"/>
              </w:rPr>
              <w:t>Methodology briefs</w:t>
            </w:r>
          </w:p>
        </w:tc>
        <w:tc>
          <w:tcPr>
            <w:tcW w:type="dxa" w:w="2160"/>
          </w:tcPr>
          <w:p>
            <w:r>
              <w:rPr>
                <w:sz w:val="18"/>
              </w:rPr>
              <w:t>Auth-bypass fix so the briefs are truly public (no login wall)</w:t>
            </w:r>
          </w:p>
        </w:tc>
        <w:tc>
          <w:tcPr>
            <w:tcW w:type="dxa" w:w="2160"/>
          </w:tcPr>
          <w:p>
            <w:r/>
            <w:r>
              <w:rPr>
                <w:color w:val="047857"/>
                <w:sz w:val="18"/>
              </w:rPr>
              <w:t>Fixed (verified no-account)</w:t>
            </w:r>
          </w:p>
        </w:tc>
        <w:tc>
          <w:tcPr>
            <w:tcW w:type="dxa" w:w="2160"/>
          </w:tcPr>
          <w:p>
            <w:r>
              <w:rPr>
                <w:sz w:val="18"/>
              </w:rPr>
              <w:t>No - awaiting deploy</w:t>
            </w:r>
          </w:p>
        </w:tc>
      </w:tr>
      <w:tr>
        <w:tc>
          <w:tcPr>
            <w:tcW w:type="dxa" w:w="2160"/>
          </w:tcPr>
          <w:p>
            <w:r>
              <w:rPr>
                <w:sz w:val="18"/>
              </w:rPr>
              <w:t>Competency Framework</w:t>
            </w:r>
          </w:p>
        </w:tc>
        <w:tc>
          <w:tcPr>
            <w:tcW w:type="dxa" w:w="2160"/>
          </w:tcPr>
          <w:p>
            <w:r>
              <w:rPr>
                <w:sz w:val="18"/>
              </w:rPr>
              <w:t>Framework PDF font-loading hardened (no hang under serverless Chromium)</w:t>
            </w:r>
          </w:p>
        </w:tc>
        <w:tc>
          <w:tcPr>
            <w:tcW w:type="dxa" w:w="2160"/>
          </w:tcPr>
          <w:p>
            <w:r/>
            <w:r>
              <w:rPr>
                <w:color w:val="047857"/>
                <w:sz w:val="18"/>
              </w:rPr>
              <w:t>Fixed</w:t>
            </w:r>
          </w:p>
        </w:tc>
        <w:tc>
          <w:tcPr>
            <w:tcW w:type="dxa" w:w="2160"/>
          </w:tcPr>
          <w:p>
            <w:r>
              <w:rPr>
                <w:sz w:val="18"/>
              </w:rPr>
              <w:t>No - awaiting deploy</w:t>
            </w:r>
          </w:p>
        </w:tc>
      </w:tr>
      <w:tr>
        <w:tc>
          <w:tcPr>
            <w:tcW w:type="dxa" w:w="2160"/>
          </w:tcPr>
          <w:p>
            <w:r>
              <w:rPr>
                <w:sz w:val="18"/>
              </w:rPr>
              <w:t>Pre-Hire</w:t>
            </w:r>
          </w:p>
        </w:tc>
        <w:tc>
          <w:tcPr>
            <w:tcW w:type="dxa" w:w="2160"/>
          </w:tcPr>
          <w:p>
            <w:r>
              <w:rPr>
                <w:sz w:val="18"/>
              </w:rPr>
              <w:t>Voucher system: client codes tied to a requisition + self-redeem + admin hub tile</w:t>
            </w:r>
          </w:p>
        </w:tc>
        <w:tc>
          <w:tcPr>
            <w:tcW w:type="dxa" w:w="2160"/>
          </w:tcPr>
          <w:p>
            <w:r/>
            <w:r>
              <w:rPr>
                <w:color w:val="047857"/>
                <w:sz w:val="18"/>
              </w:rPr>
              <w:t>Done (end-to-end verified live)</w:t>
            </w:r>
          </w:p>
        </w:tc>
        <w:tc>
          <w:tcPr>
            <w:tcW w:type="dxa" w:w="2160"/>
          </w:tcPr>
          <w:p>
            <w:r>
              <w:rPr>
                <w:sz w:val="18"/>
              </w:rPr>
              <w:t>DB migration 00144 applied; code awaiting deploy</w:t>
            </w:r>
          </w:p>
        </w:tc>
      </w:tr>
      <w:tr>
        <w:tc>
          <w:tcPr>
            <w:tcW w:type="dxa" w:w="2160"/>
          </w:tcPr>
          <w:p>
            <w:r>
              <w:rPr>
                <w:sz w:val="18"/>
              </w:rPr>
              <w:t>Pre-Hire</w:t>
            </w:r>
          </w:p>
        </w:tc>
        <w:tc>
          <w:tcPr>
            <w:tcW w:type="dxa" w:w="2160"/>
          </w:tcPr>
          <w:p>
            <w:r>
              <w:rPr>
                <w:sz w:val="18"/>
              </w:rPr>
              <w:t>"Invalid requisition" creation bug (strict UUID validation)</w:t>
            </w:r>
          </w:p>
        </w:tc>
        <w:tc>
          <w:tcPr>
            <w:tcW w:type="dxa" w:w="2160"/>
          </w:tcPr>
          <w:p>
            <w:r/>
            <w:r>
              <w:rPr>
                <w:color w:val="047857"/>
                <w:sz w:val="18"/>
              </w:rPr>
              <w:t>Fixed</w:t>
            </w:r>
          </w:p>
        </w:tc>
        <w:tc>
          <w:tcPr>
            <w:tcW w:type="dxa" w:w="2160"/>
          </w:tcPr>
          <w:p>
            <w:r>
              <w:rPr>
                <w:sz w:val="18"/>
              </w:rPr>
              <w:t>No - awaiting deploy</w:t>
            </w:r>
          </w:p>
        </w:tc>
      </w:tr>
      <w:tr>
        <w:tc>
          <w:tcPr>
            <w:tcW w:type="dxa" w:w="2160"/>
          </w:tcPr>
          <w:p>
            <w:r>
              <w:rPr>
                <w:sz w:val="18"/>
              </w:rPr>
              <w:t>Platform / Admin</w:t>
            </w:r>
          </w:p>
        </w:tc>
        <w:tc>
          <w:tcPr>
            <w:tcW w:type="dxa" w:w="2160"/>
          </w:tcPr>
          <w:p>
            <w:r>
              <w:rPr>
                <w:sz w:val="18"/>
              </w:rPr>
              <w:t>Admin button -&gt; platform hub; AC dashboard moved to /admin/assessment-center</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Platform / Admin</w:t>
            </w:r>
          </w:p>
        </w:tc>
        <w:tc>
          <w:tcPr>
            <w:tcW w:type="dxa" w:w="2160"/>
          </w:tcPr>
          <w:p>
            <w:r>
              <w:rPr>
                <w:sz w:val="18"/>
              </w:rPr>
              <w:t>Succession Readiness sidebar tidied (Overview + Scoring Config folded in)</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Platform / Landing</w:t>
            </w:r>
          </w:p>
        </w:tc>
        <w:tc>
          <w:tcPr>
            <w:tcW w:type="dxa" w:w="2160"/>
          </w:tcPr>
          <w:p>
            <w:r>
              <w:rPr>
                <w:sz w:val="18"/>
              </w:rPr>
              <w:t>Landing page colour / styling pass</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Platform / global</w:t>
            </w:r>
          </w:p>
        </w:tc>
        <w:tc>
          <w:tcPr>
            <w:tcW w:type="dxa" w:w="2160"/>
          </w:tcPr>
          <w:p>
            <w:r>
              <w:rPr>
                <w:sz w:val="18"/>
              </w:rPr>
              <w:t>Signed-in role indicator on every page (top-right)</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Platform / global</w:t>
            </w:r>
          </w:p>
        </w:tc>
        <w:tc>
          <w:tcPr>
            <w:tcW w:type="dxa" w:w="2160"/>
          </w:tcPr>
          <w:p>
            <w:r>
              <w:rPr>
                <w:sz w:val="18"/>
              </w:rPr>
              <w:t>"Design target roles" link on every service landing</w:t>
            </w:r>
          </w:p>
        </w:tc>
        <w:tc>
          <w:tcPr>
            <w:tcW w:type="dxa" w:w="2160"/>
          </w:tcPr>
          <w:p>
            <w:r/>
            <w:r>
              <w:rPr>
                <w:color w:val="047857"/>
                <w:sz w:val="18"/>
              </w:rPr>
              <w:t>Done</w:t>
            </w:r>
          </w:p>
        </w:tc>
        <w:tc>
          <w:tcPr>
            <w:tcW w:type="dxa" w:w="2160"/>
          </w:tcPr>
          <w:p>
            <w:r>
              <w:rPr>
                <w:sz w:val="18"/>
              </w:rPr>
              <w:t>No - awaiting deploy</w:t>
            </w:r>
          </w:p>
        </w:tc>
      </w:tr>
      <w:tr>
        <w:tc>
          <w:tcPr>
            <w:tcW w:type="dxa" w:w="2160"/>
          </w:tcPr>
          <w:p>
            <w:r>
              <w:rPr>
                <w:sz w:val="18"/>
              </w:rPr>
              <w:t>Reflect 360</w:t>
            </w:r>
          </w:p>
        </w:tc>
        <w:tc>
          <w:tcPr>
            <w:tcW w:type="dxa" w:w="2160"/>
          </w:tcPr>
          <w:p>
            <w:r>
              <w:rPr>
                <w:sz w:val="18"/>
              </w:rPr>
              <w:t>Cannot launch an engagement with 0 participants / 0 raters (guard)</w:t>
            </w:r>
          </w:p>
        </w:tc>
        <w:tc>
          <w:tcPr>
            <w:tcW w:type="dxa" w:w="2160"/>
          </w:tcPr>
          <w:p>
            <w:r/>
            <w:r>
              <w:rPr>
                <w:color w:val="047857"/>
                <w:sz w:val="18"/>
              </w:rPr>
              <w:t>Fixed</w:t>
            </w:r>
          </w:p>
        </w:tc>
        <w:tc>
          <w:tcPr>
            <w:tcW w:type="dxa" w:w="2160"/>
          </w:tcPr>
          <w:p>
            <w:r>
              <w:rPr>
                <w:sz w:val="18"/>
              </w:rPr>
              <w:t>No - awaiting deploy</w:t>
            </w:r>
          </w:p>
        </w:tc>
      </w:tr>
      <w:tr>
        <w:tc>
          <w:tcPr>
            <w:tcW w:type="dxa" w:w="2160"/>
          </w:tcPr>
          <w:p>
            <w:r>
              <w:rPr>
                <w:sz w:val="18"/>
              </w:rPr>
              <w:t>Reflect 360</w:t>
            </w:r>
          </w:p>
        </w:tc>
        <w:tc>
          <w:tcPr>
            <w:tcW w:type="dxa" w:w="2160"/>
          </w:tcPr>
          <w:p>
            <w:r>
              <w:rPr>
                <w:sz w:val="18"/>
              </w:rPr>
              <w:t>"Add a person" form in the wizard (add participant + raters, no CSV)</w:t>
            </w:r>
          </w:p>
        </w:tc>
        <w:tc>
          <w:tcPr>
            <w:tcW w:type="dxa" w:w="2160"/>
          </w:tcPr>
          <w:p>
            <w:r/>
            <w:r>
              <w:rPr>
                <w:color w:val="047857"/>
                <w:sz w:val="18"/>
              </w:rPr>
              <w:t>Fixed</w:t>
            </w:r>
          </w:p>
        </w:tc>
        <w:tc>
          <w:tcPr>
            <w:tcW w:type="dxa" w:w="2160"/>
          </w:tcPr>
          <w:p>
            <w:r>
              <w:rPr>
                <w:sz w:val="18"/>
              </w:rPr>
              <w:t>No - awaiting deploy</w:t>
            </w:r>
          </w:p>
        </w:tc>
      </w:tr>
      <w:tr>
        <w:tc>
          <w:tcPr>
            <w:tcW w:type="dxa" w:w="2160"/>
          </w:tcPr>
          <w:p>
            <w:r>
              <w:rPr>
                <w:sz w:val="18"/>
              </w:rPr>
              <w:t>Reflect 360</w:t>
            </w:r>
          </w:p>
        </w:tc>
        <w:tc>
          <w:tcPr>
            <w:tcW w:type="dxa" w:w="2160"/>
          </w:tcPr>
          <w:p>
            <w:r>
              <w:rPr>
                <w:sz w:val="18"/>
              </w:rPr>
              <w:t>"No raters yet" warning banner on the engagement detail page</w:t>
            </w:r>
          </w:p>
        </w:tc>
        <w:tc>
          <w:tcPr>
            <w:tcW w:type="dxa" w:w="2160"/>
          </w:tcPr>
          <w:p>
            <w:r/>
            <w:r>
              <w:rPr>
                <w:color w:val="047857"/>
                <w:sz w:val="18"/>
              </w:rPr>
              <w:t>Fixed (verified live)</w:t>
            </w:r>
          </w:p>
        </w:tc>
        <w:tc>
          <w:tcPr>
            <w:tcW w:type="dxa" w:w="2160"/>
          </w:tcPr>
          <w:p>
            <w:r>
              <w:rPr>
                <w:sz w:val="18"/>
              </w:rPr>
              <w:t>No - awaiting deploy</w:t>
            </w:r>
          </w:p>
        </w:tc>
      </w:tr>
    </w:tbl>
    <w:p>
      <w:pPr>
        <w:pStyle w:val="Heading1"/>
      </w:pPr>
      <w:r>
        <w:rPr>
          <w:color w:val="5391D5"/>
        </w:rPr>
        <w:t>Reflect 360 - the reported issue ("no assessment starting, no questions")</w:t>
      </w:r>
    </w:p>
    <w:p>
      <w:r>
        <w:rPr>
          <w:b/>
          <w:i w:val="0"/>
        </w:rPr>
        <w:t>Root cause</w:t>
      </w:r>
    </w:p>
    <w:p>
      <w:r>
        <w:rPr>
          <w:b w:val="0"/>
          <w:i w:val="0"/>
        </w:rPr>
        <w:t>In Reflect 360 the questions are answered by RATERS through a private link (/reflect/respond/&lt;token&gt;). An end-to-end audit of the live site found that every engagement - including the two already marked "Live" - had a complete framework (5 competencies, 20 behaviours) but ZERO participants and ZERO raters. With no raters there is no link and nothing to answer, which is exactly the "no assessment, no questions" symptom. The question bank itself was fine (252 behaviours exist).</w:t>
      </w:r>
    </w:p>
    <w:p>
      <w:r>
        <w:rPr>
          <w:b/>
          <w:i w:val="0"/>
        </w:rPr>
        <w:t>Why it happened</w:t>
      </w:r>
    </w:p>
    <w:p>
      <w:r>
        <w:rPr>
          <w:b w:val="0"/>
          <w:i w:val="0"/>
        </w:rPr>
        <w:t>1) The wizard's "people" step only accepted a CSV/spreadsheet import - there was no simple form to add one person, so it was easy to skip.  2) The wizard let a consultant move past that step and LAUNCH with zero participants - nothing blocked it.  Result: "live" engagements with nobody to assess.</w:t>
      </w:r>
    </w:p>
    <w:p>
      <w:r>
        <w:rPr>
          <w:b/>
          <w:i w:val="0"/>
        </w:rPr>
        <w:t>What was verified to already work</w:t>
      </w:r>
    </w:p>
    <w:p>
      <w:r>
        <w:rPr>
          <w:b w:val="0"/>
          <w:i w:val="0"/>
        </w:rPr>
        <w:t>The rater response form itself is fully functional. With a test rater created, it rendered the complete assessment - "Manager perspective - 20 quick cards", the tenure question, and real behaviour cards (e.g. "1 of 20 - Mobilising around purpose - Translates organisational priorities into clear team objectives") with the 5-point frequency scale and auto-save. So the engine is sound; only the setup path was at fault.</w:t>
      </w:r>
    </w:p>
    <w:p>
      <w:r>
        <w:rPr>
          <w:b/>
          <w:i w:val="0"/>
        </w:rPr>
        <w:t>Fixes applied (this session)</w:t>
      </w:r>
    </w:p>
    <w:p>
      <w:pPr>
        <w:pStyle w:val="ListBullet"/>
      </w:pPr>
      <w:r>
        <w:rPr>
          <w:sz w:val="20"/>
        </w:rPr>
        <w:t>Launch guard: launchReflectEngagement now refuses to go live when there are 0 participants or 0 raters, with a clear, actionable message instead of silently flipping to "live".</w:t>
      </w:r>
    </w:p>
    <w:p>
      <w:pPr>
        <w:pStyle w:val="ListBullet"/>
      </w:pPr>
      <w:r>
        <w:rPr>
          <w:sz w:val="20"/>
        </w:rPr>
        <w:t>Add-a-person form: the wizard's People step now has a simple form to add one participant plus their raters (Self / Manager / Peers / Direct reports) without building a spreadsheet. The CSV import remains for large cohorts.</w:t>
      </w:r>
    </w:p>
    <w:p>
      <w:pPr>
        <w:pStyle w:val="ListBullet"/>
      </w:pPr>
      <w:r>
        <w:rPr>
          <w:sz w:val="20"/>
        </w:rPr>
        <w:t>No-raters banner: the engagement detail page now shows a prominent amber warning - "No raters yet - nobody can respond" - whenever an engagement has no raters, pointing to the People step.</w:t>
      </w:r>
    </w:p>
    <w:p>
      <w:r>
        <w:rPr>
          <w:b/>
          <w:i w:val="0"/>
          <w:color w:val="047857"/>
        </w:rPr>
        <w:t>Status: FIXED in code (TypeScript + lint clean; the banner verified live; the add-person form is wired to the participant/rater save path that the audit proved works). Pending the manual production deploy to go live.</w:t>
      </w:r>
    </w:p>
    <w:p>
      <w:r>
        <w:rPr>
          <w:b w:val="0"/>
          <w:i/>
        </w:rPr>
        <w:t>Immediate option without waiting for deploy: I can add a participant + their raters to your existing live engagement now (the back-end already works) so you can click straight into a working assessment.</w:t>
      </w:r>
    </w:p>
    <w:p>
      <w:pPr>
        <w:pStyle w:val="Heading1"/>
      </w:pPr>
      <w:r>
        <w:rPr>
          <w:color w:val="5391D5"/>
        </w:rPr>
        <w:t>Known pending items (not done this session)</w:t>
      </w:r>
    </w:p>
    <w:p>
      <w:pPr>
        <w:pStyle w:val="ListBullet"/>
      </w:pPr>
      <w:r>
        <w:rPr>
          <w:sz w:val="20"/>
        </w:rPr>
        <w:t>Pre-Hire vouchers: a friendly "add person" path and link distribution exist; a per-requisition voucher panel on the requisition detail page is a possible future enhancement (the central Vouchers hub covers it today).</w:t>
      </w:r>
    </w:p>
    <w:p>
      <w:pPr>
        <w:pStyle w:val="ListBullet"/>
      </w:pPr>
      <w:r>
        <w:rPr>
          <w:sz w:val="20"/>
        </w:rPr>
        <w:t>Reflect 360: a draft engagement created and exited before the People step cannot yet have people added from the detail page (only via the wizard). A detail-page "add people" surface is a recommended follow-up.</w:t>
      </w:r>
    </w:p>
    <w:p>
      <w:pPr>
        <w:pStyle w:val="ListBullet"/>
      </w:pPr>
      <w:r>
        <w:rPr>
          <w:sz w:val="20"/>
        </w:rPr>
        <w:t>Broader mobile-friendly pass and a deeper landing-page redesign remain open from earlier requests.</w:t>
      </w:r>
    </w:p>
    <w:p>
      <w:pPr>
        <w:pStyle w:val="ListBullet"/>
      </w:pPr>
      <w:r>
        <w:rPr>
          <w:sz w:val="20"/>
        </w:rPr>
        <w:t>ARC "bigger builds" (role-calibrated cut-scores, a defensible norm group, prior-run deltas) require data collection and are not code-only.</w:t>
      </w:r>
    </w:p>
    <w:p>
      <w:pPr>
        <w:pStyle w:val="Heading1"/>
      </w:pPr>
      <w:r>
        <w:rPr>
          <w:color w:val="5391D5"/>
        </w:rPr>
        <w:t>Action required from you</w:t>
      </w:r>
    </w:p>
    <w:p>
      <w:pPr>
        <w:pStyle w:val="ListBullet"/>
      </w:pPr>
      <w:r>
        <w:rPr>
          <w:sz w:val="20"/>
        </w:rPr>
        <w:t>Trigger a manual Render deploy ("Deploy latest commit") to make every code change above live on caliber.viftraining.com.</w:t>
      </w:r>
    </w:p>
    <w:p>
      <w:pPr>
        <w:pStyle w:val="ListBullet"/>
      </w:pPr>
      <w:r>
        <w:rPr>
          <w:sz w:val="20"/>
        </w:rPr>
        <w:t>After deploying, re-test Reflect 360: create an engagement, use the new "Add a person" form, then launch - the guard will confirm people exist and raters will receive their links.</w:t>
      </w:r>
    </w:p>
    <w:p>
      <w:r>
        <w:rPr>
          <w:b w:val="0"/>
          <w:i w:val="0"/>
        </w:rPr>
      </w:r>
    </w:p>
    <w:p>
      <w:r>
        <w:rPr>
          <w:b w:val="0"/>
          <w:i/>
          <w:color w:val="888888"/>
          <w:sz w:val="16"/>
        </w:rPr>
        <w:t>Generated by Claude Code - VIFM Caliber engineering session, 21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