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3A5C"/>
          <w:sz w:val="48"/>
          <w:szCs w:val="48"/>
        </w:rPr>
        <w:t xml:space="preserve">VIFM ASSESSMENT CENTER</w:t>
      </w:r>
    </w:p>
    <w:p>
      <w:pPr>
        <w:spacing w:after="100"/>
        <w:jc w:val="center"/>
      </w:pPr>
      <w:r>
        <w:rPr>
          <w:rFonts w:ascii="Arial" w:cs="Arial" w:eastAsia="Arial" w:hAnsi="Arial"/>
          <w:b/>
          <w:bCs/>
          <w:color w:val="0E7C7B"/>
          <w:sz w:val="48"/>
          <w:szCs w:val="48"/>
        </w:rPr>
        <w:t xml:space="preserve">DIGITAL PORTAL</w:t>
      </w:r>
    </w:p>
    <w:p>
      <w:pPr>
        <w:spacing w:after="200"/>
      </w:pPr>
    </w:p>
    <w:p>
      <w:pPr>
        <w:pBdr>
          <w:top w:val="single" w:color="D4A843" w:sz="6" w:space="8"/>
          <w:bottom w:val="single" w:color="D4A843" w:sz="6" w:space="8"/>
        </w:pBdr>
        <w:spacing w:after="60"/>
        <w:jc w:val="center"/>
      </w:pPr>
      <w:r>
        <w:rPr>
          <w:rFonts w:ascii="Arial" w:cs="Arial" w:eastAsia="Arial" w:hAnsi="Arial"/>
          <w:b/>
          <w:bCs/>
          <w:color w:val="D4A843"/>
          <w:sz w:val="28"/>
          <w:szCs w:val="28"/>
        </w:rPr>
        <w:t xml:space="preserve">PROJECT PLAN &amp; DEVELOPMENT BLUEPRINT</w:t>
      </w:r>
    </w:p>
    <w:p>
      <w:pPr>
        <w:spacing w:after="200"/>
      </w:pPr>
    </w:p>
    <w:p>
      <w:pPr>
        <w:spacing w:after="80"/>
        <w:jc w:val="center"/>
      </w:pPr>
      <w:r>
        <w:rPr>
          <w:rFonts w:ascii="Arial" w:cs="Arial" w:eastAsia="Arial" w:hAnsi="Arial"/>
          <w:color w:val="666666"/>
          <w:sz w:val="24"/>
          <w:szCs w:val="24"/>
        </w:rPr>
        <w:t xml:space="preserve">For Claude Code Development</w:t>
      </w:r>
    </w:p>
    <w:p>
      <w:pPr>
        <w:spacing w:after="80"/>
        <w:jc w:val="center"/>
      </w:pPr>
      <w:r>
        <w:rPr>
          <w:rFonts w:ascii="Arial" w:cs="Arial" w:eastAsia="Arial" w:hAnsi="Arial"/>
          <w:color w:val="666666"/>
          <w:sz w:val="22"/>
          <w:szCs w:val="22"/>
        </w:rPr>
        <w:t xml:space="preserve">React / Node.js / Supabase Architecture</w:t>
      </w:r>
    </w:p>
    <w:p>
      <w:pPr>
        <w:spacing w:after="600"/>
      </w:pPr>
    </w:p>
    <w:p>
      <w:pPr>
        <w:spacing w:after="60"/>
        <w:jc w:val="center"/>
      </w:pPr>
      <w:r>
        <w:rPr>
          <w:rFonts w:ascii="Arial" w:cs="Arial" w:eastAsia="Arial" w:hAnsi="Arial"/>
          <w:b/>
          <w:bCs/>
          <w:color w:val="1B3A5C"/>
          <w:sz w:val="22"/>
          <w:szCs w:val="22"/>
        </w:rPr>
        <w:t xml:space="preserve">Virginia Institute of Finance and Management (VIFM)</w:t>
      </w:r>
    </w:p>
    <w:p>
      <w:pPr>
        <w:spacing w:after="60"/>
        <w:jc w:val="center"/>
      </w:pPr>
      <w:r>
        <w:rPr>
          <w:rFonts w:ascii="Arial" w:cs="Arial" w:eastAsia="Arial" w:hAnsi="Arial"/>
          <w:color w:val="888888"/>
          <w:sz w:val="20"/>
          <w:szCs w:val="20"/>
        </w:rPr>
        <w:t xml:space="preserve">Dubai | Riyadh | Cairo | London | Virginia</w:t>
      </w:r>
    </w:p>
    <w:p>
      <w:pPr>
        <w:spacing w:after="200"/>
      </w:pPr>
    </w:p>
    <w:p>
      <w:pPr>
        <w:spacing w:after="60"/>
        <w:jc w:val="center"/>
      </w:pPr>
      <w:r>
        <w:rPr>
          <w:rFonts w:ascii="Arial" w:cs="Arial" w:eastAsia="Arial" w:hAnsi="Arial"/>
          <w:color w:val="888888"/>
          <w:sz w:val="20"/>
          <w:szCs w:val="20"/>
        </w:rPr>
        <w:t xml:space="preserve">Version 1.0 | March 2026</w:t>
      </w:r>
    </w:p>
    <w:p>
      <w:pPr>
        <w:jc w:val="center"/>
      </w:pPr>
      <w:r>
        <w:rPr>
          <w:rFonts w:ascii="Arial" w:cs="Arial" w:eastAsia="Arial" w:hAnsi="Arial"/>
          <w:b/>
          <w:bCs/>
          <w:color w:val="CC000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333333"/>
          <w:sz w:val="22"/>
          <w:szCs w:val="22"/>
        </w:rPr>
        <w:t xml:space="preserve">This project plan defines the phased development of the VIFM Assessment Center Digital Portal, a custom-built platform on React/Node.js/Supabase that operationalizes the VIFM-AC Framework Blueprint. The portal will manage the end-to-end assessment center lifecycle across four user interfaces (Admin, Assessor, Candidate, Client) and integrate with licensed psychometric instruments from SHL.</w:t>
      </w:r>
    </w:p>
    <w:p>
      <w:pPr>
        <w:spacing w:after="120"/>
      </w:pPr>
      <w:r>
        <w:rPr>
          <w:rFonts w:ascii="Arial" w:cs="Arial" w:eastAsia="Arial" w:hAnsi="Arial"/>
          <w:b w:val="false"/>
          <w:bCs w:val="false"/>
          <w:i w:val="false"/>
          <w:iCs w:val="false"/>
          <w:color w:val="333333"/>
          <w:sz w:val="22"/>
          <w:szCs w:val="22"/>
        </w:rPr>
        <w:t xml:space="preserve">The plan is structured around seven propositions, prioritized by dependency order and business impact, and organized into five development phases spanning approximately 20 weeks of Claude Code development. Each phase produces a working, testable increment of the platform.</w:t>
      </w:r>
    </w:p>
    <w:p>
      <w:pPr>
        <w:spacing w:after="100"/>
      </w:pPr>
    </w:p>
    <w:p>
      <w:pPr>
        <w:pStyle w:val="Heading2"/>
      </w:pPr>
      <w:r>
        <w:rPr>
          <w:rFonts w:ascii="Arial" w:cs="Arial" w:eastAsia="Arial" w:hAnsi="Arial"/>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8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Frontend</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React 18+ with TypeScript, Tailwind CSS, Shadcn/UI components</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Backend</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Node.js with Express or Next.js API routes</w:t>
            </w:r>
          </w:p>
        </w:tc>
      </w:tr>
      <w:tr>
        <w:tc>
          <w:tcPr>
            <w:tcW w:type="dxa" w:w="28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Database</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Supabase (PostgreSQL + Auth + Storage + Realtime + Edge Functions)</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Auth</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Supabase Auth with Row-Level Security (RLS) policies per role</w:t>
            </w:r>
          </w:p>
        </w:tc>
      </w:tr>
      <w:tr>
        <w:tc>
          <w:tcPr>
            <w:tcW w:type="dxa" w:w="28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File Storage</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Supabase Storage for exercise materials, reports, video recordings</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Real-Time</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Supabase Realtime for live wash-up collaboration, notifications</w:t>
            </w:r>
          </w:p>
        </w:tc>
      </w:tr>
      <w:tr>
        <w:tc>
          <w:tcPr>
            <w:tcW w:type="dxa" w:w="28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Reporting</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React-PDF for candidate reports, Recharts/Chart.js for analytics</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Video</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Daily.co or Twilio SDK for embedded videoconferencing</w:t>
            </w:r>
          </w:p>
        </w:tc>
      </w:tr>
      <w:tr>
        <w:tc>
          <w:tcPr>
            <w:tcW w:type="dxa" w:w="28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i18n</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react-i18next with RTL support for Arabic via Tailwind CSS direction utilities</w:t>
            </w:r>
          </w:p>
        </w:tc>
      </w:tr>
      <w:tr>
        <w:tc>
          <w:tcPr>
            <w:tcW w:type="dxa" w:w="2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Deployment</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Vercel (frontend) + Supabase Cloud (backend) or self-hosted Docker</w:t>
            </w:r>
          </w:p>
        </w:tc>
      </w:tr>
    </w:tbl>
    <w:p>
      <w:pPr>
        <w:spacing w:after="100"/>
      </w:pPr>
    </w:p>
    <w:p>
      <w:pPr>
        <w:pStyle w:val="Heading2"/>
      </w:pPr>
      <w:r>
        <w:rPr>
          <w:rFonts w:ascii="Arial" w:cs="Arial" w:eastAsia="Arial" w:hAnsi="Arial"/>
        </w:rPr>
        <w:t xml:space="preserve">1.2 Proposition Priority Matrix</w:t>
      </w:r>
    </w:p>
    <w:p>
      <w:pPr>
        <w:spacing w:after="120"/>
      </w:pPr>
      <w:r>
        <w:rPr>
          <w:rFonts w:ascii="Arial" w:cs="Arial" w:eastAsia="Arial" w:hAnsi="Arial"/>
          <w:b w:val="false"/>
          <w:bCs w:val="false"/>
          <w:i w:val="false"/>
          <w:iCs w:val="false"/>
          <w:color w:val="333333"/>
          <w:sz w:val="22"/>
          <w:szCs w:val="22"/>
        </w:rPr>
        <w:t xml:space="preserve">The seven propositions are sequenced by dependency (what must exist before other things can be built) and by business value (what generates revenue earliest):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1200"/>
        <w:gridCol w:w="1200"/>
        <w:gridCol w:w="1200"/>
        <w:gridCol w:w="1560"/>
      </w:tblGrid>
      <w:tr>
        <w:tc>
          <w:tcPr>
            <w:tcW w:type="dxa" w:w="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Proposition</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1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 Impact</w:t>
            </w:r>
          </w:p>
        </w:tc>
      </w:tr>
      <w:tr>
        <w:tc>
          <w:tcPr>
            <w:tcW w:type="dxa" w:w="5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P1</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Portal Architecture</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Critical</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Phase 1</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3-4</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None</w:t>
            </w:r>
          </w:p>
        </w:tc>
        <w:tc>
          <w:tcPr>
            <w:tcW w:type="dxa" w:w="15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Foundation</w:t>
            </w:r>
          </w:p>
        </w:tc>
      </w:tr>
      <w:tr>
        <w:tc>
          <w:tcPr>
            <w:tcW w:type="dxa" w:w="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P7</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Data Protection &amp; Compliance</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Critical</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Phase 1</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1-2</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P1</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Compliance gate</w:t>
            </w:r>
          </w:p>
        </w:tc>
      </w:tr>
      <w:tr>
        <w:tc>
          <w:tcPr>
            <w:tcW w:type="dxa" w:w="5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P2</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Core Modules</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Critical</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Phase 2-3</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8-10</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P1, P7</w:t>
            </w:r>
          </w:p>
        </w:tc>
        <w:tc>
          <w:tcPr>
            <w:tcW w:type="dxa" w:w="15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Direct revenue</w:t>
            </w:r>
          </w:p>
        </w:tc>
      </w:tr>
      <w:tr>
        <w:tc>
          <w:tcPr>
            <w:tcW w:type="dxa" w:w="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P4</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Integration Layer</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High</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Phase 3</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2-3</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P2</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Enabler</w:t>
            </w:r>
          </w:p>
        </w:tc>
      </w:tr>
      <w:tr>
        <w:tc>
          <w:tcPr>
            <w:tcW w:type="dxa" w:w="5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P3</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Bilingual Arabic/English</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High</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Phase 4</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2-3</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P2</w:t>
            </w:r>
          </w:p>
        </w:tc>
        <w:tc>
          <w:tcPr>
            <w:tcW w:type="dxa" w:w="15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Market differentiator</w:t>
            </w:r>
          </w:p>
        </w:tc>
      </w:tr>
      <w:tr>
        <w:tc>
          <w:tcPr>
            <w:tcW w:type="dxa" w:w="5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P5</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Build vs Buy (Hybrid)</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Strategic</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Ongoing</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N/A</w:t>
            </w:r>
          </w:p>
        </w:tc>
        <w:tc>
          <w:tcPr>
            <w:tcW w:type="dxa" w:w="1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N/A</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Cost optimization</w:t>
            </w:r>
          </w:p>
        </w:tc>
      </w:tr>
      <w:tr>
        <w:tc>
          <w:tcPr>
            <w:tcW w:type="dxa" w:w="5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P6</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AI Enhancements</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Future</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Phase 5</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3-4</w:t>
            </w:r>
          </w:p>
        </w:tc>
        <w:tc>
          <w:tcPr>
            <w:tcW w:type="dxa" w:w="1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P2, P4</w:t>
            </w:r>
          </w:p>
        </w:tc>
        <w:tc>
          <w:tcPr>
            <w:tcW w:type="dxa" w:w="15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Premium tier</w:t>
            </w:r>
          </w:p>
        </w:tc>
      </w:tr>
    </w:tbl>
    <w:p>
      <w:pPr>
        <w:spacing w:after="100"/>
      </w:pPr>
    </w:p>
    <w:p>
      <w:pPr>
        <w:spacing w:after="120"/>
      </w:pPr>
      <w:r>
        <w:rPr>
          <w:rFonts w:ascii="Arial" w:cs="Arial" w:eastAsia="Arial" w:hAnsi="Arial"/>
          <w:b w:val="false"/>
          <w:bCs w:val="false"/>
          <w:i w:val="false"/>
          <w:iCs w:val="false"/>
          <w:color w:val="333333"/>
          <w:sz w:val="22"/>
          <w:szCs w:val="22"/>
        </w:rPr>
        <w:t xml:space="preserve">Proposition 5 (Build vs Buy) is a strategic decision, not a development phase. The recommendation is the Hybrid approach: license SHL TalentCentral for psychometrics, build everything else custom. This plan assumes that decision.</w:t>
      </w:r>
    </w:p>
    <w:p>
      <w:r>
        <w:br w:type="page"/>
      </w:r>
    </w:p>
    <w:p>
      <w:pPr>
        <w:pStyle w:val="Heading1"/>
      </w:pPr>
      <w:r>
        <w:rPr>
          <w:rFonts w:ascii="Arial" w:cs="Arial" w:eastAsia="Arial" w:hAnsi="Arial"/>
        </w:rPr>
        <w:t xml:space="preserve">2. Phase 1: Foundation &amp; Architecture (Weeks 1-4)</w:t>
      </w:r>
    </w:p>
    <w:p>
      <w:pPr>
        <w:spacing w:after="120"/>
      </w:pPr>
      <w:r>
        <w:rPr>
          <w:rFonts w:ascii="Arial" w:cs="Arial" w:eastAsia="Arial" w:hAnsi="Arial"/>
          <w:b w:val="false"/>
          <w:bCs w:val="false"/>
          <w:i w:val="false"/>
          <w:iCs w:val="false"/>
          <w:color w:val="333333"/>
          <w:sz w:val="22"/>
          <w:szCs w:val="22"/>
        </w:rPr>
        <w:t xml:space="preserve">Phase 1 establishes the technical foundation that every subsequent phase depends on. Nothing else can be built without this. It covers Proposition 1 (Portal Architecture) and Proposition 7 (Data Protection &amp; Compliance).</w:t>
      </w:r>
    </w:p>
    <w:p>
      <w:pPr>
        <w:pBdr>
          <w:bottom w:val="single" w:color="0E7C7B" w:sz="4" w:space="1"/>
        </w:pBdr>
        <w:spacing w:after="200" w:before="200"/>
      </w:pPr>
    </w:p>
    <w:p>
      <w:pPr>
        <w:pStyle w:val="Heading2"/>
      </w:pPr>
      <w:r>
        <w:rPr>
          <w:rFonts w:ascii="Arial" w:cs="Arial" w:eastAsia="Arial" w:hAnsi="Arial"/>
        </w:rPr>
        <w:t xml:space="preserve">2.1 Database Schema Design</w:t>
      </w:r>
    </w:p>
    <w:p>
      <w:pPr>
        <w:spacing w:after="120"/>
      </w:pPr>
      <w:r>
        <w:rPr>
          <w:rFonts w:ascii="Arial" w:cs="Arial" w:eastAsia="Arial" w:hAnsi="Arial"/>
          <w:b w:val="false"/>
          <w:bCs w:val="false"/>
          <w:i w:val="false"/>
          <w:iCs w:val="false"/>
          <w:color w:val="333333"/>
          <w:sz w:val="22"/>
          <w:szCs w:val="22"/>
        </w:rPr>
        <w:t xml:space="preserve">The Supabase PostgreSQL database is the backbone. Claude Code should create the following core tables with Row-Level Security policies: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 Group</w:t>
            </w:r>
          </w:p>
        </w:tc>
        <w:tc>
          <w:tcPr>
            <w:tcW w:type="dxa" w:w="3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Tables</w:t>
            </w:r>
          </w:p>
        </w:tc>
        <w:tc>
          <w:tcPr>
            <w:tcW w:type="dxa" w:w="3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Relationships</w:t>
            </w:r>
          </w:p>
        </w:tc>
      </w:tr>
      <w:tr>
        <w:tc>
          <w:tcPr>
            <w:tcW w:type="dxa" w:w="22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Identity &amp; Access</w:t>
            </w:r>
          </w:p>
        </w:tc>
        <w:tc>
          <w:tcPr>
            <w:tcW w:type="dxa" w:w="38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sz w:val="20"/>
                <w:szCs w:val="20"/>
              </w:rPr>
              <w:t xml:space="preserve">users</w:t>
            </w:r>
          </w:p>
          <w:p>
            <w:r>
              <w:rPr>
                <w:rFonts w:ascii="Arial" w:cs="Arial" w:eastAsia="Arial" w:hAnsi="Arial"/>
                <w:sz w:val="20"/>
                <w:szCs w:val="20"/>
              </w:rPr>
              <w:t xml:space="preserve">roles (admin, lead_assessor, associate_assessor, candidate, client)</w:t>
            </w:r>
          </w:p>
          <w:p>
            <w:r>
              <w:rPr>
                <w:rFonts w:ascii="Arial" w:cs="Arial" w:eastAsia="Arial" w:hAnsi="Arial"/>
                <w:sz w:val="20"/>
                <w:szCs w:val="20"/>
              </w:rPr>
              <w:t xml:space="preserve">user_roles (junction)</w:t>
            </w:r>
          </w:p>
          <w:p>
            <w:r>
              <w:rPr>
                <w:rFonts w:ascii="Arial" w:cs="Arial" w:eastAsia="Arial" w:hAnsi="Arial"/>
                <w:sz w:val="20"/>
                <w:szCs w:val="20"/>
              </w:rPr>
              <w:t xml:space="preserve">organizations (client companies)</w:t>
            </w:r>
          </w:p>
        </w:tc>
        <w:tc>
          <w:tcPr>
            <w:tcW w:type="dxa" w:w="33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users -&gt; user_roles -&gt; roles; users -&gt; organizations</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Engagement</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sz w:val="20"/>
                <w:szCs w:val="20"/>
              </w:rPr>
              <w:t xml:space="preserve">engagements (projects)</w:t>
            </w:r>
          </w:p>
          <w:p>
            <w:r>
              <w:rPr>
                <w:rFonts w:ascii="Arial" w:cs="Arial" w:eastAsia="Arial" w:hAnsi="Arial"/>
                <w:sz w:val="20"/>
                <w:szCs w:val="20"/>
              </w:rPr>
              <w:t xml:space="preserve">engagement_competencies (selected competencies per engagement)</w:t>
            </w:r>
          </w:p>
          <w:p>
            <w:r>
              <w:rPr>
                <w:rFonts w:ascii="Arial" w:cs="Arial" w:eastAsia="Arial" w:hAnsi="Arial"/>
                <w:sz w:val="20"/>
                <w:szCs w:val="20"/>
              </w:rPr>
              <w:t xml:space="preserve">engagement_exercises (exercises used per engagement)</w:t>
            </w:r>
          </w:p>
          <w:p>
            <w:r>
              <w:rPr>
                <w:rFonts w:ascii="Arial" w:cs="Arial" w:eastAsia="Arial" w:hAnsi="Arial"/>
                <w:sz w:val="20"/>
                <w:szCs w:val="20"/>
              </w:rPr>
              <w:t xml:space="preserve">exercise_competency_matrix (mapping)</w:t>
            </w:r>
          </w:p>
        </w:tc>
        <w:tc>
          <w:tcPr>
            <w:tcW w:type="dxa" w:w="3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engagements -&gt; organizations; engagement_competencies -&gt; competencies</w:t>
            </w:r>
          </w:p>
        </w:tc>
      </w:tr>
      <w:tr>
        <w:tc>
          <w:tcPr>
            <w:tcW w:type="dxa" w:w="22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Competency Framework</w:t>
            </w:r>
          </w:p>
        </w:tc>
        <w:tc>
          <w:tcPr>
            <w:tcW w:type="dxa" w:w="38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sz w:val="20"/>
                <w:szCs w:val="20"/>
              </w:rPr>
              <w:t xml:space="preserve">competency_domains</w:t>
            </w:r>
          </w:p>
          <w:p>
            <w:r>
              <w:rPr>
                <w:rFonts w:ascii="Arial" w:cs="Arial" w:eastAsia="Arial" w:hAnsi="Arial"/>
                <w:sz w:val="20"/>
                <w:szCs w:val="20"/>
              </w:rPr>
              <w:t xml:space="preserve">competency_clusters</w:t>
            </w:r>
          </w:p>
          <w:p>
            <w:r>
              <w:rPr>
                <w:rFonts w:ascii="Arial" w:cs="Arial" w:eastAsia="Arial" w:hAnsi="Arial"/>
                <w:sz w:val="20"/>
                <w:szCs w:val="20"/>
              </w:rPr>
              <w:t xml:space="preserve">competencies</w:t>
            </w:r>
          </w:p>
          <w:p>
            <w:r>
              <w:rPr>
                <w:rFonts w:ascii="Arial" w:cs="Arial" w:eastAsia="Arial" w:hAnsi="Arial"/>
                <w:sz w:val="20"/>
                <w:szCs w:val="20"/>
              </w:rPr>
              <w:t xml:space="preserve">behavioral_indicators (positive/negative per competency per level)</w:t>
            </w:r>
          </w:p>
        </w:tc>
        <w:tc>
          <w:tcPr>
            <w:tcW w:type="dxa" w:w="33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domains -&gt; clusters -&gt; competencies -&gt; indicators</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Assessment</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sz w:val="20"/>
                <w:szCs w:val="20"/>
              </w:rPr>
              <w:t xml:space="preserve">candidates</w:t>
            </w:r>
          </w:p>
          <w:p>
            <w:r>
              <w:rPr>
                <w:rFonts w:ascii="Arial" w:cs="Arial" w:eastAsia="Arial" w:hAnsi="Arial"/>
                <w:sz w:val="20"/>
                <w:szCs w:val="20"/>
              </w:rPr>
              <w:t xml:space="preserve">assessor_assignments (assessor-candidate-exercise)</w:t>
            </w:r>
          </w:p>
          <w:p>
            <w:r>
              <w:rPr>
                <w:rFonts w:ascii="Arial" w:cs="Arial" w:eastAsia="Arial" w:hAnsi="Arial"/>
                <w:sz w:val="20"/>
                <w:szCs w:val="20"/>
              </w:rPr>
              <w:t xml:space="preserve">observations (behavioral notes per competency per exercise)</w:t>
            </w:r>
          </w:p>
          <w:p>
            <w:r>
              <w:rPr>
                <w:rFonts w:ascii="Arial" w:cs="Arial" w:eastAsia="Arial" w:hAnsi="Arial"/>
                <w:sz w:val="20"/>
                <w:szCs w:val="20"/>
              </w:rPr>
              <w:t xml:space="preserve">ratings (1-5 BARS scores)</w:t>
            </w:r>
          </w:p>
          <w:p>
            <w:r>
              <w:rPr>
                <w:rFonts w:ascii="Arial" w:cs="Arial" w:eastAsia="Arial" w:hAnsi="Arial"/>
                <w:sz w:val="20"/>
                <w:szCs w:val="20"/>
              </w:rPr>
              <w:t xml:space="preserve">integration_worksheets</w:t>
            </w:r>
          </w:p>
          <w:p>
            <w:r>
              <w:rPr>
                <w:rFonts w:ascii="Arial" w:cs="Arial" w:eastAsia="Arial" w:hAnsi="Arial"/>
                <w:sz w:val="20"/>
                <w:szCs w:val="20"/>
              </w:rPr>
              <w:t xml:space="preserve">consensus_ratings</w:t>
            </w:r>
          </w:p>
          <w:p>
            <w:r>
              <w:rPr>
                <w:rFonts w:ascii="Arial" w:cs="Arial" w:eastAsia="Arial" w:hAnsi="Arial"/>
                <w:sz w:val="20"/>
                <w:szCs w:val="20"/>
              </w:rPr>
              <w:t xml:space="preserve">overall_assessment_ratings</w:t>
            </w:r>
          </w:p>
        </w:tc>
        <w:tc>
          <w:tcPr>
            <w:tcW w:type="dxa" w:w="3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candidates -&gt; engagements; observations -&gt; assessor_assignments</w:t>
            </w:r>
          </w:p>
        </w:tc>
      </w:tr>
      <w:tr>
        <w:tc>
          <w:tcPr>
            <w:tcW w:type="dxa" w:w="22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Exercise Library</w:t>
            </w:r>
          </w:p>
        </w:tc>
        <w:tc>
          <w:tcPr>
            <w:tcW w:type="dxa" w:w="38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sz w:val="20"/>
                <w:szCs w:val="20"/>
              </w:rPr>
              <w:t xml:space="preserve">exercises (in-basket, role play, group, case study, presentation, CBI)</w:t>
            </w:r>
          </w:p>
          <w:p>
            <w:r>
              <w:rPr>
                <w:rFonts w:ascii="Arial" w:cs="Arial" w:eastAsia="Arial" w:hAnsi="Arial"/>
                <w:sz w:val="20"/>
                <w:szCs w:val="20"/>
              </w:rPr>
              <w:t xml:space="preserve">exercise_materials (PDFs, briefs, data packs)</w:t>
            </w:r>
          </w:p>
          <w:p>
            <w:r>
              <w:rPr>
                <w:rFonts w:ascii="Arial" w:cs="Arial" w:eastAsia="Arial" w:hAnsi="Arial"/>
                <w:sz w:val="20"/>
                <w:szCs w:val="20"/>
              </w:rPr>
              <w:t xml:space="preserve">role_player_prompts</w:t>
            </w:r>
          </w:p>
          <w:p>
            <w:r>
              <w:rPr>
                <w:rFonts w:ascii="Arial" w:cs="Arial" w:eastAsia="Arial" w:hAnsi="Arial"/>
                <w:sz w:val="20"/>
                <w:szCs w:val="20"/>
              </w:rPr>
              <w:t xml:space="preserve">exercise_templates</w:t>
            </w:r>
          </w:p>
        </w:tc>
        <w:tc>
          <w:tcPr>
            <w:tcW w:type="dxa" w:w="33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exercises -&gt; exercise_materials; exercises -&gt; role_player_prompts</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Reporting</w:t>
            </w:r>
          </w:p>
        </w:tc>
        <w:tc>
          <w:tcPr>
            <w:tcW w:type="dxa" w:w="3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sz w:val="20"/>
                <w:szCs w:val="20"/>
              </w:rPr>
              <w:t xml:space="preserve">candidate_reports</w:t>
            </w:r>
          </w:p>
          <w:p>
            <w:r>
              <w:rPr>
                <w:rFonts w:ascii="Arial" w:cs="Arial" w:eastAsia="Arial" w:hAnsi="Arial"/>
                <w:sz w:val="20"/>
                <w:szCs w:val="20"/>
              </w:rPr>
              <w:t xml:space="preserve">psychometric_results</w:t>
            </w:r>
          </w:p>
          <w:p>
            <w:r>
              <w:rPr>
                <w:rFonts w:ascii="Arial" w:cs="Arial" w:eastAsia="Arial" w:hAnsi="Arial"/>
                <w:sz w:val="20"/>
                <w:szCs w:val="20"/>
              </w:rPr>
              <w:t xml:space="preserve">development_recommendations</w:t>
            </w:r>
          </w:p>
        </w:tc>
        <w:tc>
          <w:tcPr>
            <w:tcW w:type="dxa" w:w="3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candidate_reports -&gt; candidates -&gt; engagements</w:t>
            </w:r>
          </w:p>
        </w:tc>
      </w:tr>
      <w:tr>
        <w:tc>
          <w:tcPr>
            <w:tcW w:type="dxa" w:w="22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Compliance</w:t>
            </w:r>
          </w:p>
        </w:tc>
        <w:tc>
          <w:tcPr>
            <w:tcW w:type="dxa" w:w="38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sz w:val="20"/>
                <w:szCs w:val="20"/>
              </w:rPr>
              <w:t xml:space="preserve">consent_records</w:t>
            </w:r>
          </w:p>
          <w:p>
            <w:r>
              <w:rPr>
                <w:rFonts w:ascii="Arial" w:cs="Arial" w:eastAsia="Arial" w:hAnsi="Arial"/>
                <w:sz w:val="20"/>
                <w:szCs w:val="20"/>
              </w:rPr>
              <w:t xml:space="preserve">data_retention_policies</w:t>
            </w:r>
          </w:p>
          <w:p>
            <w:r>
              <w:rPr>
                <w:rFonts w:ascii="Arial" w:cs="Arial" w:eastAsia="Arial" w:hAnsi="Arial"/>
                <w:sz w:val="20"/>
                <w:szCs w:val="20"/>
              </w:rPr>
              <w:t xml:space="preserve">audit_logs</w:t>
            </w:r>
          </w:p>
          <w:p>
            <w:r>
              <w:rPr>
                <w:rFonts w:ascii="Arial" w:cs="Arial" w:eastAsia="Arial" w:hAnsi="Arial"/>
                <w:sz w:val="20"/>
                <w:szCs w:val="20"/>
              </w:rPr>
              <w:t xml:space="preserve">data_access_requests</w:t>
            </w:r>
          </w:p>
        </w:tc>
        <w:tc>
          <w:tcPr>
            <w:tcW w:type="dxa" w:w="33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consent_records -&gt; candidates; audit_logs -&gt; users</w:t>
            </w:r>
          </w:p>
        </w:tc>
      </w:tr>
    </w:tbl>
    <w:p>
      <w:pPr>
        <w:spacing w:after="100"/>
      </w:pPr>
    </w:p>
    <w:p>
      <w:pPr>
        <w:pStyle w:val="Heading2"/>
      </w:pPr>
      <w:r>
        <w:rPr>
          <w:rFonts w:ascii="Arial" w:cs="Arial" w:eastAsia="Arial" w:hAnsi="Arial"/>
        </w:rPr>
        <w:t xml:space="preserve">2.2 Authentication &amp; Role-Based Access Control</w:t>
      </w:r>
    </w:p>
    <w:p>
      <w:pPr>
        <w:spacing w:after="120"/>
      </w:pPr>
      <w:r>
        <w:rPr>
          <w:rFonts w:ascii="Arial" w:cs="Arial" w:eastAsia="Arial" w:hAnsi="Arial"/>
          <w:b w:val="false"/>
          <w:bCs w:val="false"/>
          <w:i w:val="false"/>
          <w:iCs w:val="false"/>
          <w:color w:val="333333"/>
          <w:sz w:val="22"/>
          <w:szCs w:val="22"/>
        </w:rPr>
        <w:t xml:space="preserve">Supabase Auth handles authentication. Four distinct roles map to the four portals. Claude Code should implement:</w:t>
      </w:r>
    </w:p>
    <w:p>
      <w:pPr>
        <w:pStyle w:val="ListParagraph"/>
        <w:numPr>
          <w:ilvl w:val="0"/>
          <w:numId w:val="2"/>
        </w:numPr>
        <w:spacing w:after="80"/>
      </w:pPr>
      <w:r>
        <w:rPr>
          <w:rFonts w:ascii="Arial" w:cs="Arial" w:eastAsia="Arial" w:hAnsi="Arial"/>
          <w:color w:val="333333"/>
          <w:sz w:val="22"/>
          <w:szCs w:val="22"/>
        </w:rPr>
        <w:t xml:space="preserve">Supabase Auth with email/password + magic link login for candidates</w:t>
      </w:r>
    </w:p>
    <w:p>
      <w:pPr>
        <w:pStyle w:val="ListParagraph"/>
        <w:numPr>
          <w:ilvl w:val="0"/>
          <w:numId w:val="2"/>
        </w:numPr>
        <w:spacing w:after="80"/>
      </w:pPr>
      <w:r>
        <w:rPr>
          <w:rFonts w:ascii="Arial" w:cs="Arial" w:eastAsia="Arial" w:hAnsi="Arial"/>
          <w:color w:val="333333"/>
          <w:sz w:val="22"/>
          <w:szCs w:val="22"/>
        </w:rPr>
        <w:t xml:space="preserve">Role-based routing: after login, users are redirected to their portal (Admin, Assessor, Candidate, or Client dashboard)</w:t>
      </w:r>
    </w:p>
    <w:p>
      <w:pPr>
        <w:pStyle w:val="ListParagraph"/>
        <w:numPr>
          <w:ilvl w:val="0"/>
          <w:numId w:val="2"/>
        </w:numPr>
        <w:spacing w:after="80"/>
      </w:pPr>
      <w:r>
        <w:rPr>
          <w:rFonts w:ascii="Arial" w:cs="Arial" w:eastAsia="Arial" w:hAnsi="Arial"/>
          <w:color w:val="333333"/>
          <w:sz w:val="22"/>
          <w:szCs w:val="22"/>
        </w:rPr>
        <w:t xml:space="preserve">Row-Level Security (RLS) policies on every table ensuring assessors only see assigned candidates, clients only see their engagements, candidates only see their own data</w:t>
      </w:r>
    </w:p>
    <w:p>
      <w:pPr>
        <w:pStyle w:val="ListParagraph"/>
        <w:numPr>
          <w:ilvl w:val="0"/>
          <w:numId w:val="2"/>
        </w:numPr>
        <w:spacing w:after="80"/>
      </w:pPr>
      <w:r>
        <w:rPr>
          <w:rFonts w:ascii="Arial" w:cs="Arial" w:eastAsia="Arial" w:hAnsi="Arial"/>
          <w:color w:val="333333"/>
          <w:sz w:val="22"/>
          <w:szCs w:val="22"/>
        </w:rPr>
        <w:t xml:space="preserve">Session management with JWT refresh tokens and idle timeout (30 minutes for assessors during live AC days)</w:t>
      </w:r>
    </w:p>
    <w:p>
      <w:pPr>
        <w:pStyle w:val="ListParagraph"/>
        <w:numPr>
          <w:ilvl w:val="0"/>
          <w:numId w:val="2"/>
        </w:numPr>
        <w:spacing w:after="80"/>
      </w:pPr>
      <w:r>
        <w:rPr>
          <w:rFonts w:ascii="Arial" w:cs="Arial" w:eastAsia="Arial" w:hAnsi="Arial"/>
          <w:color w:val="333333"/>
          <w:sz w:val="22"/>
          <w:szCs w:val="22"/>
        </w:rPr>
        <w:t xml:space="preserve">Audit logging: every data access, rating change, and report generation is logged with user ID, timestamp, and action type</w:t>
      </w:r>
    </w:p>
    <w:p>
      <w:pPr>
        <w:spacing w:after="50"/>
      </w:pPr>
    </w:p>
    <w:p>
      <w:pPr>
        <w:pStyle w:val="Heading2"/>
      </w:pPr>
      <w:r>
        <w:rPr>
          <w:rFonts w:ascii="Arial" w:cs="Arial" w:eastAsia="Arial" w:hAnsi="Arial"/>
        </w:rPr>
        <w:t xml:space="preserve">2.3 Four-Portal Shell Architecture</w:t>
      </w:r>
    </w:p>
    <w:p>
      <w:pPr>
        <w:spacing w:after="120"/>
      </w:pPr>
      <w:r>
        <w:rPr>
          <w:rFonts w:ascii="Arial" w:cs="Arial" w:eastAsia="Arial" w:hAnsi="Arial"/>
          <w:b w:val="false"/>
          <w:bCs w:val="false"/>
          <w:i w:val="false"/>
          <w:iCs w:val="false"/>
          <w:color w:val="333333"/>
          <w:sz w:val="22"/>
          <w:szCs w:val="22"/>
        </w:rPr>
        <w:t xml:space="preserve">Claude Code should scaffold the four portal shells as separate route groups within a single React application: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600"/>
        <w:gridCol w:w="2560"/>
      </w:tblGrid>
      <w:tr>
        <w:tc>
          <w:tcPr>
            <w:tcW w:type="dxa" w:w="1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Portal</w:t>
            </w:r>
          </w:p>
        </w:tc>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Route Prefix</w:t>
            </w:r>
          </w:p>
        </w:tc>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Shell Components</w:t>
            </w:r>
          </w:p>
        </w:tc>
        <w:tc>
          <w:tcPr>
            <w:tcW w:type="dxa" w:w="2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Screens (Placeholder)</w:t>
            </w:r>
          </w:p>
        </w:tc>
      </w:tr>
      <w:tr>
        <w:tc>
          <w:tcPr>
            <w:tcW w:type="dxa" w:w="16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Admin</w:t>
            </w:r>
          </w:p>
        </w:tc>
        <w:tc>
          <w:tcPr>
            <w:tcW w:type="dxa" w:w="26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/admin/*</w:t>
            </w:r>
          </w:p>
        </w:tc>
        <w:tc>
          <w:tcPr>
            <w:tcW w:type="dxa" w:w="26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Sidebar nav, top bar with org selector, breadcrumbs</w:t>
            </w:r>
          </w:p>
        </w:tc>
        <w:tc>
          <w:tcPr>
            <w:tcW w:type="dxa" w:w="25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Dashboard, Clients, Engagements, Exercises, Assessors, Analytics, Settings</w:t>
            </w:r>
          </w:p>
        </w:tc>
      </w:tr>
      <w:tr>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Assessor</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/assessor/*</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Top nav, exercise tabs, candidate panel</w:t>
            </w:r>
          </w:p>
        </w:tc>
        <w:tc>
          <w:tcPr>
            <w:tcW w:type="dxa" w:w="2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My Assignments, Observation Form, Integration Worksheet, Wash-Up Room</w:t>
            </w:r>
          </w:p>
        </w:tc>
      </w:tr>
      <w:tr>
        <w:tc>
          <w:tcPr>
            <w:tcW w:type="dxa" w:w="16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Candidate</w:t>
            </w:r>
          </w:p>
        </w:tc>
        <w:tc>
          <w:tcPr>
            <w:tcW w:type="dxa" w:w="26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/candidate/*</w:t>
            </w:r>
          </w:p>
        </w:tc>
        <w:tc>
          <w:tcPr>
            <w:tcW w:type="dxa" w:w="26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Clean minimal nav, progress stepper</w:t>
            </w:r>
          </w:p>
        </w:tc>
        <w:tc>
          <w:tcPr>
            <w:tcW w:type="dxa" w:w="25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Welcome, Consent, My Assessments, Take Test, View Report</w:t>
            </w:r>
          </w:p>
        </w:tc>
      </w:tr>
      <w:tr>
        <w:tc>
          <w:tcPr>
            <w:tcW w:type="dxa" w:w="1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Client</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/client/*</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Dashboard nav, report viewer</w:t>
            </w:r>
          </w:p>
        </w:tc>
        <w:tc>
          <w:tcPr>
            <w:tcW w:type="dxa" w:w="2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Dashboard, Engagements, Candidate Reports, Talent Analytics</w:t>
            </w:r>
          </w:p>
        </w:tc>
      </w:tr>
    </w:tbl>
    <w:p>
      <w:pPr>
        <w:spacing w:after="100"/>
      </w:pPr>
    </w:p>
    <w:p>
      <w:pPr>
        <w:pStyle w:val="Heading2"/>
      </w:pPr>
      <w:r>
        <w:rPr>
          <w:rFonts w:ascii="Arial" w:cs="Arial" w:eastAsia="Arial" w:hAnsi="Arial"/>
        </w:rPr>
        <w:t xml:space="preserve">2.4 Compliance Module (Proposition 7)</w:t>
      </w:r>
    </w:p>
    <w:p>
      <w:pPr>
        <w:spacing w:after="120"/>
      </w:pPr>
      <w:r>
        <w:rPr>
          <w:rFonts w:ascii="Arial" w:cs="Arial" w:eastAsia="Arial" w:hAnsi="Arial"/>
          <w:b w:val="false"/>
          <w:bCs w:val="false"/>
          <w:i w:val="false"/>
          <w:iCs w:val="false"/>
          <w:color w:val="333333"/>
          <w:sz w:val="22"/>
          <w:szCs w:val="22"/>
        </w:rPr>
        <w:t xml:space="preserve">This must be built into Phase 1 because no candidate data can be collected without it. Claude Code should implement:</w:t>
      </w:r>
    </w:p>
    <w:p>
      <w:pPr>
        <w:pStyle w:val="ListParagraph"/>
        <w:numPr>
          <w:ilvl w:val="0"/>
          <w:numId w:val="2"/>
        </w:numPr>
        <w:spacing w:after="80"/>
      </w:pPr>
      <w:r>
        <w:rPr>
          <w:rFonts w:ascii="Arial" w:cs="Arial" w:eastAsia="Arial" w:hAnsi="Arial"/>
          <w:color w:val="333333"/>
          <w:sz w:val="22"/>
          <w:szCs w:val="22"/>
        </w:rPr>
        <w:t xml:space="preserve">Digital consent workflow: candidates must accept a consent form (configurable per jurisdiction: UAE PDPL, Saudi PDPL, GDPR) before any assessment begins</w:t>
      </w:r>
    </w:p>
    <w:p>
      <w:pPr>
        <w:pStyle w:val="ListParagraph"/>
        <w:numPr>
          <w:ilvl w:val="0"/>
          <w:numId w:val="2"/>
        </w:numPr>
        <w:spacing w:after="80"/>
      </w:pPr>
      <w:r>
        <w:rPr>
          <w:rFonts w:ascii="Arial" w:cs="Arial" w:eastAsia="Arial" w:hAnsi="Arial"/>
          <w:color w:val="333333"/>
          <w:sz w:val="22"/>
          <w:szCs w:val="22"/>
        </w:rPr>
        <w:t xml:space="preserve">Data retention engine: automated flagging and scheduled deletion of candidate data after the configured retention period (default 2 years)</w:t>
      </w:r>
    </w:p>
    <w:p>
      <w:pPr>
        <w:pStyle w:val="ListParagraph"/>
        <w:numPr>
          <w:ilvl w:val="0"/>
          <w:numId w:val="2"/>
        </w:numPr>
        <w:spacing w:after="80"/>
      </w:pPr>
      <w:r>
        <w:rPr>
          <w:rFonts w:ascii="Arial" w:cs="Arial" w:eastAsia="Arial" w:hAnsi="Arial"/>
          <w:color w:val="333333"/>
          <w:sz w:val="22"/>
          <w:szCs w:val="22"/>
        </w:rPr>
        <w:t xml:space="preserve">Right-to-access API: candidates can request an export of all their data in JSON/PDF format</w:t>
      </w:r>
    </w:p>
    <w:p>
      <w:pPr>
        <w:pStyle w:val="ListParagraph"/>
        <w:numPr>
          <w:ilvl w:val="0"/>
          <w:numId w:val="2"/>
        </w:numPr>
        <w:spacing w:after="80"/>
      </w:pPr>
      <w:r>
        <w:rPr>
          <w:rFonts w:ascii="Arial" w:cs="Arial" w:eastAsia="Arial" w:hAnsi="Arial"/>
          <w:color w:val="333333"/>
          <w:sz w:val="22"/>
          <w:szCs w:val="22"/>
        </w:rPr>
        <w:t xml:space="preserve">Right-to-deletion API: candidates can request deletion, which triggers a soft-delete with a 30-day grace period before hard deletion</w:t>
      </w:r>
    </w:p>
    <w:p>
      <w:pPr>
        <w:pStyle w:val="ListParagraph"/>
        <w:numPr>
          <w:ilvl w:val="0"/>
          <w:numId w:val="2"/>
        </w:numPr>
        <w:spacing w:after="80"/>
      </w:pPr>
      <w:r>
        <w:rPr>
          <w:rFonts w:ascii="Arial" w:cs="Arial" w:eastAsia="Arial" w:hAnsi="Arial"/>
          <w:color w:val="333333"/>
          <w:sz w:val="22"/>
          <w:szCs w:val="22"/>
        </w:rPr>
        <w:t xml:space="preserve">Audit trail table: immutable log of every significant action (data access, rating entry, report generation, data export, consent given/withdrawn)</w:t>
      </w:r>
    </w:p>
    <w:p>
      <w:pPr>
        <w:spacing w:after="50"/>
      </w:pPr>
    </w:p>
    <w:p>
      <w:pPr>
        <w:pStyle w:val="Heading2"/>
      </w:pPr>
      <w:r>
        <w:rPr>
          <w:rFonts w:ascii="Arial" w:cs="Arial" w:eastAsia="Arial" w:hAnsi="Arial"/>
        </w:rPr>
        <w:t xml:space="preserve">2.5 Phase 1 Deliverables &amp; Claude Code Prompts</w:t>
      </w:r>
    </w:p>
    <w:p>
      <w:pPr>
        <w:spacing w:after="120"/>
      </w:pPr>
      <w:r>
        <w:rPr>
          <w:rFonts w:ascii="Arial" w:cs="Arial" w:eastAsia="Arial" w:hAnsi="Arial"/>
          <w:b w:val="false"/>
          <w:bCs w:val="false"/>
          <w:i w:val="false"/>
          <w:iCs w:val="false"/>
          <w:color w:val="333333"/>
          <w:sz w:val="22"/>
          <w:szCs w:val="22"/>
        </w:rPr>
        <w:t xml:space="preserve">Below are the suggested Claude Code prompts to execute Phase 1. Each prompt should be given as a separate task:</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2400"/>
        <w:gridCol w:w="216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Claude Code Prompt (Summary)</w:t>
            </w:r>
          </w:p>
        </w:tc>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1.1</w:t>
            </w:r>
          </w:p>
        </w:tc>
        <w:tc>
          <w:tcPr>
            <w:tcW w:type="dxa" w:w="40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Initialize a Next.js 14 project with TypeScript, Tailwind CSS, Shadcn/UI. Set up Supabase client. Configure project structure with /admin, /assessor, /candidate, /client route groups.</w:t>
            </w:r>
          </w:p>
        </w:tc>
        <w:tc>
          <w:tcPr>
            <w:tcW w:type="dxa" w:w="24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Project scaffold</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1 session</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1.2</w:t>
            </w:r>
          </w:p>
        </w:tc>
        <w:tc>
          <w:tcPr>
            <w:tcW w:type="dxa" w:w="4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Create the full Supabase database schema with all tables listed in Section 2.1. Include RLS policies for each role. Seed the competency framework data from the VIFM Blueprint (4 domains, 8 clusters, 33 competencies with behavioral indicators).</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SQL migration files</w:t>
            </w:r>
          </w:p>
        </w:tc>
        <w:tc>
          <w:tcPr>
            <w:tcW w:type="dxa" w:w="2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1-2 sessions</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1.3</w:t>
            </w:r>
          </w:p>
        </w:tc>
        <w:tc>
          <w:tcPr>
            <w:tcW w:type="dxa" w:w="40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Build the authentication system using Supabase Auth. Implement role-based middleware that routes users to their portal. Create login, registration, and password reset pages. Add magic link login for candidates.</w:t>
            </w:r>
          </w:p>
        </w:tc>
        <w:tc>
          <w:tcPr>
            <w:tcW w:type="dxa" w:w="24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Auth system</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1 session</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1.4</w:t>
            </w:r>
          </w:p>
        </w:tc>
        <w:tc>
          <w:tcPr>
            <w:tcW w:type="dxa" w:w="4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Build the four portal shell layouts (Admin sidebar + dashboard skeleton, Assessor top-nav shell, Candidate minimal stepper layout, Client dashboard shell). Each portal should have placeholder pages for all key screens.</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4 portal shells</w:t>
            </w:r>
          </w:p>
        </w:tc>
        <w:tc>
          <w:tcPr>
            <w:tcW w:type="dxa" w:w="2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1-2 sessions</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1.5</w:t>
            </w:r>
          </w:p>
        </w:tc>
        <w:tc>
          <w:tcPr>
            <w:tcW w:type="dxa" w:w="40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Build the compliance module: digital consent form component (configurable by jurisdiction), audit log service, data retention scheduler (Supabase Edge Function that runs daily), right-to-access export endpoint, right-to-deletion endpoint.</w:t>
            </w:r>
          </w:p>
        </w:tc>
        <w:tc>
          <w:tcPr>
            <w:tcW w:type="dxa" w:w="24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Compliance module</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1 session</w:t>
            </w:r>
          </w:p>
        </w:tc>
      </w:tr>
    </w:tbl>
    <w:p>
      <w:r>
        <w:br w:type="page"/>
      </w:r>
    </w:p>
    <w:p>
      <w:pPr>
        <w:pStyle w:val="Heading1"/>
      </w:pPr>
      <w:r>
        <w:rPr>
          <w:rFonts w:ascii="Arial" w:cs="Arial" w:eastAsia="Arial" w:hAnsi="Arial"/>
        </w:rPr>
        <w:t xml:space="preserve">3. Phase 2: Core Assessment Engine (Weeks 5-10)</w:t>
      </w:r>
    </w:p>
    <w:p>
      <w:pPr>
        <w:spacing w:after="120"/>
      </w:pPr>
      <w:r>
        <w:rPr>
          <w:rFonts w:ascii="Arial" w:cs="Arial" w:eastAsia="Arial" w:hAnsi="Arial"/>
          <w:b w:val="false"/>
          <w:bCs w:val="false"/>
          <w:i w:val="false"/>
          <w:iCs w:val="false"/>
          <w:color w:val="333333"/>
          <w:sz w:val="22"/>
          <w:szCs w:val="22"/>
        </w:rPr>
        <w:t xml:space="preserve">Phase 2 builds the operational heart of the platform: the modules that allow VIFM to actually run assessment centers. This is the largest phase and covers the first half of Proposition 2 (Core Modules), specifically Modules 1, 2, 5, and 6.</w:t>
      </w:r>
    </w:p>
    <w:p>
      <w:pPr>
        <w:pBdr>
          <w:bottom w:val="single" w:color="0E7C7B" w:sz="4" w:space="1"/>
        </w:pBdr>
        <w:spacing w:after="200" w:before="200"/>
      </w:pPr>
    </w:p>
    <w:p>
      <w:pPr>
        <w:pStyle w:val="Heading2"/>
      </w:pPr>
      <w:r>
        <w:rPr>
          <w:rFonts w:ascii="Arial" w:cs="Arial" w:eastAsia="Arial" w:hAnsi="Arial"/>
        </w:rPr>
        <w:t xml:space="preserve">3.1 Module 1: Engagement &amp; Project Setup (Admin Portal)</w:t>
      </w:r>
    </w:p>
    <w:p>
      <w:pPr>
        <w:spacing w:after="120"/>
      </w:pPr>
      <w:r>
        <w:rPr>
          <w:rFonts w:ascii="Arial" w:cs="Arial" w:eastAsia="Arial" w:hAnsi="Arial"/>
          <w:b w:val="false"/>
          <w:bCs w:val="false"/>
          <w:i w:val="false"/>
          <w:iCs w:val="false"/>
          <w:color w:val="333333"/>
          <w:sz w:val="22"/>
          <w:szCs w:val="22"/>
        </w:rPr>
        <w:t xml:space="preserve">This is the workflow an Admin/Lead Assessor uses to configure a new assessment center engagement:</w:t>
      </w:r>
    </w:p>
    <w:p>
      <w:pPr>
        <w:pStyle w:val="ListParagraph"/>
        <w:numPr>
          <w:ilvl w:val="0"/>
          <w:numId w:val="2"/>
        </w:numPr>
        <w:spacing w:after="80"/>
      </w:pPr>
      <w:r>
        <w:rPr>
          <w:rFonts w:ascii="Arial" w:cs="Arial" w:eastAsia="Arial" w:hAnsi="Arial"/>
          <w:color w:val="333333"/>
          <w:sz w:val="22"/>
          <w:szCs w:val="22"/>
        </w:rPr>
        <w:t xml:space="preserve">Client selector (create new or choose existing organization)</w:t>
      </w:r>
    </w:p>
    <w:p>
      <w:pPr>
        <w:pStyle w:val="ListParagraph"/>
        <w:numPr>
          <w:ilvl w:val="0"/>
          <w:numId w:val="2"/>
        </w:numPr>
        <w:spacing w:after="80"/>
      </w:pPr>
      <w:r>
        <w:rPr>
          <w:rFonts w:ascii="Arial" w:cs="Arial" w:eastAsia="Arial" w:hAnsi="Arial"/>
          <w:color w:val="333333"/>
          <w:sz w:val="22"/>
          <w:szCs w:val="22"/>
        </w:rPr>
        <w:t xml:space="preserve">Engagement wizard: purpose (selection/promotion/development), target role, level (junior/mid/senior/C-suite), duration (half-day/full-day), delivery mode (in-person/virtual/hybrid)</w:t>
      </w:r>
    </w:p>
    <w:p>
      <w:pPr>
        <w:pStyle w:val="ListParagraph"/>
        <w:numPr>
          <w:ilvl w:val="0"/>
          <w:numId w:val="2"/>
        </w:numPr>
        <w:spacing w:after="80"/>
      </w:pPr>
      <w:r>
        <w:rPr>
          <w:rFonts w:ascii="Arial" w:cs="Arial" w:eastAsia="Arial" w:hAnsi="Arial"/>
          <w:color w:val="333333"/>
          <w:sz w:val="22"/>
          <w:szCs w:val="22"/>
        </w:rPr>
        <w:t xml:space="preserve">Competency profile builder: select 4-10 competencies from the VIFM framework, with drag-and-drop reordering. The system should auto-suggest competencies based on the selected level (using the tiered profiles from Blueprint Section 3.3)</w:t>
      </w:r>
    </w:p>
    <w:p>
      <w:pPr>
        <w:pStyle w:val="ListParagraph"/>
        <w:numPr>
          <w:ilvl w:val="0"/>
          <w:numId w:val="2"/>
        </w:numPr>
        <w:spacing w:after="80"/>
      </w:pPr>
      <w:r>
        <w:rPr>
          <w:rFonts w:ascii="Arial" w:cs="Arial" w:eastAsia="Arial" w:hAnsi="Arial"/>
          <w:color w:val="333333"/>
          <w:sz w:val="22"/>
          <w:szCs w:val="22"/>
        </w:rPr>
        <w:t xml:space="preserve">Exercise selector: choose exercises from the library and auto-generate the exercise-to-competency matrix. The system should validate that each competency is measured in at least 2 exercises (per International Taskforce Guidelines)</w:t>
      </w:r>
    </w:p>
    <w:p>
      <w:pPr>
        <w:pStyle w:val="ListParagraph"/>
        <w:numPr>
          <w:ilvl w:val="0"/>
          <w:numId w:val="2"/>
        </w:numPr>
        <w:spacing w:after="80"/>
      </w:pPr>
      <w:r>
        <w:rPr>
          <w:rFonts w:ascii="Arial" w:cs="Arial" w:eastAsia="Arial" w:hAnsi="Arial"/>
          <w:color w:val="333333"/>
          <w:sz w:val="22"/>
          <w:szCs w:val="22"/>
        </w:rPr>
        <w:t xml:space="preserve">Schedule builder: drag-and-drop day schedule with time blocks, auto-calculating breaks and assessor rotations</w:t>
      </w:r>
    </w:p>
    <w:p>
      <w:pPr>
        <w:pStyle w:val="ListParagraph"/>
        <w:numPr>
          <w:ilvl w:val="0"/>
          <w:numId w:val="2"/>
        </w:numPr>
        <w:spacing w:after="80"/>
      </w:pPr>
      <w:r>
        <w:rPr>
          <w:rFonts w:ascii="Arial" w:cs="Arial" w:eastAsia="Arial" w:hAnsi="Arial"/>
          <w:color w:val="333333"/>
          <w:sz w:val="22"/>
          <w:szCs w:val="22"/>
        </w:rPr>
        <w:t xml:space="preserve">Assessor assignment: assign lead and associate assessors from the certified assessor pool, map assessors to candidates and exercises</w:t>
      </w:r>
    </w:p>
    <w:p>
      <w:pPr>
        <w:pStyle w:val="ListParagraph"/>
        <w:numPr>
          <w:ilvl w:val="0"/>
          <w:numId w:val="2"/>
        </w:numPr>
        <w:spacing w:after="80"/>
      </w:pPr>
      <w:r>
        <w:rPr>
          <w:rFonts w:ascii="Arial" w:cs="Arial" w:eastAsia="Arial" w:hAnsi="Arial"/>
          <w:color w:val="333333"/>
          <w:sz w:val="22"/>
          <w:szCs w:val="22"/>
        </w:rPr>
        <w:t xml:space="preserve">Candidate management: bulk import candidates via CSV, send invitation emails with magic link login, track registration and consent status</w:t>
      </w:r>
    </w:p>
    <w:p>
      <w:pPr>
        <w:spacing w:after="50"/>
      </w:pPr>
    </w:p>
    <w:p>
      <w:pPr>
        <w:pStyle w:val="Heading2"/>
      </w:pPr>
      <w:r>
        <w:rPr>
          <w:rFonts w:ascii="Arial" w:cs="Arial" w:eastAsia="Arial" w:hAnsi="Arial"/>
        </w:rPr>
        <w:t xml:space="preserve">3.2 Module 2: Digital Assessor Packet (Assessor Portal)</w:t>
      </w:r>
    </w:p>
    <w:p>
      <w:pPr>
        <w:spacing w:after="120"/>
      </w:pPr>
      <w:r>
        <w:rPr>
          <w:rFonts w:ascii="Arial" w:cs="Arial" w:eastAsia="Arial" w:hAnsi="Arial"/>
          <w:b w:val="false"/>
          <w:bCs w:val="false"/>
          <w:i w:val="false"/>
          <w:iCs w:val="false"/>
          <w:color w:val="333333"/>
          <w:sz w:val="22"/>
          <w:szCs w:val="22"/>
        </w:rPr>
        <w:t xml:space="preserve">This digitizes the entire Assessor Packet document. When an assessor logs in, they see their assignments and can navigate through:</w:t>
      </w:r>
    </w:p>
    <w:p>
      <w:pPr>
        <w:pStyle w:val="ListParagraph"/>
        <w:numPr>
          <w:ilvl w:val="0"/>
          <w:numId w:val="2"/>
        </w:numPr>
        <w:spacing w:after="80"/>
      </w:pPr>
      <w:r>
        <w:rPr>
          <w:rFonts w:ascii="Arial" w:cs="Arial" w:eastAsia="Arial" w:hAnsi="Arial"/>
          <w:color w:val="333333"/>
          <w:sz w:val="22"/>
          <w:szCs w:val="22"/>
        </w:rPr>
        <w:t xml:space="preserve">Engagement Overview: read-only view of client context, target role, competency profile, and day schedule (mirrors Assessor Packet Section 1)</w:t>
      </w:r>
    </w:p>
    <w:p>
      <w:pPr>
        <w:pStyle w:val="ListParagraph"/>
        <w:numPr>
          <w:ilvl w:val="0"/>
          <w:numId w:val="2"/>
        </w:numPr>
        <w:spacing w:after="80"/>
      </w:pPr>
      <w:r>
        <w:rPr>
          <w:rFonts w:ascii="Arial" w:cs="Arial" w:eastAsia="Arial" w:hAnsi="Arial"/>
          <w:color w:val="333333"/>
          <w:sz w:val="22"/>
          <w:szCs w:val="22"/>
        </w:rPr>
        <w:t xml:space="preserve">Competency Dictionary: interactive reference with expandable cards for each competency showing positive and negative behavioral indicators (mirrors Section 2)</w:t>
      </w:r>
    </w:p>
    <w:p>
      <w:pPr>
        <w:pStyle w:val="ListParagraph"/>
        <w:numPr>
          <w:ilvl w:val="0"/>
          <w:numId w:val="2"/>
        </w:numPr>
        <w:spacing w:after="80"/>
      </w:pPr>
      <w:r>
        <w:rPr>
          <w:rFonts w:ascii="Arial" w:cs="Arial" w:eastAsia="Arial" w:hAnsi="Arial"/>
          <w:color w:val="333333"/>
          <w:sz w:val="22"/>
          <w:szCs w:val="22"/>
        </w:rPr>
        <w:t xml:space="preserve">My Candidates: list of assigned candidates with photos (if provided), current roles, and candidate codes</w:t>
      </w:r>
    </w:p>
    <w:p>
      <w:pPr>
        <w:pStyle w:val="ListParagraph"/>
        <w:numPr>
          <w:ilvl w:val="0"/>
          <w:numId w:val="2"/>
        </w:numPr>
        <w:spacing w:after="80"/>
      </w:pPr>
      <w:r>
        <w:rPr>
          <w:rFonts w:ascii="Arial" w:cs="Arial" w:eastAsia="Arial" w:hAnsi="Arial"/>
          <w:color w:val="333333"/>
          <w:sz w:val="22"/>
          <w:szCs w:val="22"/>
        </w:rPr>
        <w:t xml:space="preserve">Exercise Materials: access to exercise briefs, role player prompt sheets, and any supporting documents (locked until the scheduled exercise time to prevent early access)</w:t>
      </w:r>
    </w:p>
    <w:p>
      <w:pPr>
        <w:pStyle w:val="ListParagraph"/>
        <w:numPr>
          <w:ilvl w:val="0"/>
          <w:numId w:val="2"/>
        </w:numPr>
        <w:spacing w:after="80"/>
      </w:pPr>
      <w:r>
        <w:rPr>
          <w:rFonts w:ascii="Arial" w:cs="Arial" w:eastAsia="Arial" w:hAnsi="Arial"/>
          <w:color w:val="333333"/>
          <w:sz w:val="22"/>
          <w:szCs w:val="22"/>
        </w:rPr>
        <w:t xml:space="preserve">BARS Reference: always-accessible panel showing the 5-point rating scale with behavioral anchors (mirrors Section 4)</w:t>
      </w:r>
    </w:p>
    <w:p>
      <w:pPr>
        <w:pStyle w:val="ListParagraph"/>
        <w:numPr>
          <w:ilvl w:val="0"/>
          <w:numId w:val="2"/>
        </w:numPr>
        <w:spacing w:after="80"/>
      </w:pPr>
      <w:r>
        <w:rPr>
          <w:rFonts w:ascii="Arial" w:cs="Arial" w:eastAsia="Arial" w:hAnsi="Arial"/>
          <w:color w:val="333333"/>
          <w:sz w:val="22"/>
          <w:szCs w:val="22"/>
        </w:rPr>
        <w:t xml:space="preserve">Rating Error Reminders: contextual tooltips that appear when rating patterns suggest common errors (halo, leniency, central tendency)</w:t>
      </w:r>
    </w:p>
    <w:p>
      <w:pPr>
        <w:spacing w:after="50"/>
      </w:pPr>
    </w:p>
    <w:p>
      <w:pPr>
        <w:pStyle w:val="Heading2"/>
      </w:pPr>
      <w:r>
        <w:rPr>
          <w:rFonts w:ascii="Arial" w:cs="Arial" w:eastAsia="Arial" w:hAnsi="Arial"/>
        </w:rPr>
        <w:t xml:space="preserve">3.3 Module 5: Digital Observation &amp; Scoring (Assessor Portal)</w:t>
      </w:r>
    </w:p>
    <w:p>
      <w:pPr>
        <w:spacing w:after="120"/>
      </w:pPr>
      <w:r>
        <w:rPr>
          <w:rFonts w:ascii="Arial" w:cs="Arial" w:eastAsia="Arial" w:hAnsi="Arial"/>
          <w:b w:val="false"/>
          <w:bCs w:val="false"/>
          <w:i w:val="false"/>
          <w:iCs w:val="false"/>
          <w:color w:val="333333"/>
          <w:sz w:val="22"/>
          <w:szCs w:val="22"/>
        </w:rPr>
        <w:t xml:space="preserve">This is the primary tool assessors use during a live assessment center day. Each exercise type has its own observation form template:</w:t>
      </w:r>
    </w:p>
    <w:p>
      <w:pPr>
        <w:pStyle w:val="ListParagraph"/>
        <w:numPr>
          <w:ilvl w:val="0"/>
          <w:numId w:val="2"/>
        </w:numPr>
        <w:spacing w:after="80"/>
      </w:pPr>
      <w:r>
        <w:rPr>
          <w:rFonts w:ascii="Arial" w:cs="Arial" w:eastAsia="Arial" w:hAnsi="Arial"/>
          <w:color w:val="333333"/>
          <w:sz w:val="22"/>
          <w:szCs w:val="22"/>
        </w:rPr>
        <w:t xml:space="preserve">Observation form rendered dynamically based on the exercise-to-competency matrix: only the competencies assigned to that exercise appear on the form</w:t>
      </w:r>
    </w:p>
    <w:p>
      <w:pPr>
        <w:pStyle w:val="ListParagraph"/>
        <w:numPr>
          <w:ilvl w:val="0"/>
          <w:numId w:val="2"/>
        </w:numPr>
        <w:spacing w:after="80"/>
      </w:pPr>
      <w:r>
        <w:rPr>
          <w:rFonts w:ascii="Arial" w:cs="Arial" w:eastAsia="Arial" w:hAnsi="Arial"/>
          <w:color w:val="333333"/>
          <w:sz w:val="22"/>
          <w:szCs w:val="22"/>
        </w:rPr>
        <w:t xml:space="preserve">Rich text note-taking field per competency with timestamp tagging</w:t>
      </w:r>
    </w:p>
    <w:p>
      <w:pPr>
        <w:pStyle w:val="ListParagraph"/>
        <w:numPr>
          <w:ilvl w:val="0"/>
          <w:numId w:val="2"/>
        </w:numPr>
        <w:spacing w:after="80"/>
      </w:pPr>
      <w:r>
        <w:rPr>
          <w:rFonts w:ascii="Arial" w:cs="Arial" w:eastAsia="Arial" w:hAnsi="Arial"/>
          <w:color w:val="333333"/>
          <w:sz w:val="22"/>
          <w:szCs w:val="22"/>
        </w:rPr>
        <w:t xml:space="preserve">Key Evidence field per competency (the single strongest behavioral example for the wash-up)</w:t>
      </w:r>
    </w:p>
    <w:p>
      <w:pPr>
        <w:pStyle w:val="ListParagraph"/>
        <w:numPr>
          <w:ilvl w:val="0"/>
          <w:numId w:val="2"/>
        </w:numPr>
        <w:spacing w:after="80"/>
      </w:pPr>
      <w:r>
        <w:rPr>
          <w:rFonts w:ascii="Arial" w:cs="Arial" w:eastAsia="Arial" w:hAnsi="Arial"/>
          <w:color w:val="333333"/>
          <w:sz w:val="22"/>
          <w:szCs w:val="22"/>
        </w:rPr>
        <w:t xml:space="preserve">Rating input: 1-5 scale with BARS anchors visible on hover/click</w:t>
      </w:r>
    </w:p>
    <w:p>
      <w:pPr>
        <w:pStyle w:val="ListParagraph"/>
        <w:numPr>
          <w:ilvl w:val="0"/>
          <w:numId w:val="2"/>
        </w:numPr>
        <w:spacing w:after="80"/>
      </w:pPr>
      <w:r>
        <w:rPr>
          <w:rFonts w:ascii="Arial" w:cs="Arial" w:eastAsia="Arial" w:hAnsi="Arial"/>
          <w:color w:val="333333"/>
          <w:sz w:val="22"/>
          <w:szCs w:val="22"/>
        </w:rPr>
        <w:t xml:space="preserve">Confidence level selector (High/Medium/Low) per competency rating</w:t>
      </w:r>
    </w:p>
    <w:p>
      <w:pPr>
        <w:pStyle w:val="ListParagraph"/>
        <w:numPr>
          <w:ilvl w:val="0"/>
          <w:numId w:val="2"/>
        </w:numPr>
        <w:spacing w:after="80"/>
      </w:pPr>
      <w:r>
        <w:rPr>
          <w:rFonts w:ascii="Arial" w:cs="Arial" w:eastAsia="Arial" w:hAnsi="Arial"/>
          <w:color w:val="333333"/>
          <w:sz w:val="22"/>
          <w:szCs w:val="22"/>
        </w:rPr>
        <w:t xml:space="preserve">Auto-save every 30 seconds to prevent data loss</w:t>
      </w:r>
    </w:p>
    <w:p>
      <w:pPr>
        <w:pStyle w:val="ListParagraph"/>
        <w:numPr>
          <w:ilvl w:val="0"/>
          <w:numId w:val="2"/>
        </w:numPr>
        <w:spacing w:after="80"/>
      </w:pPr>
      <w:r>
        <w:rPr>
          <w:rFonts w:ascii="Arial" w:cs="Arial" w:eastAsia="Arial" w:hAnsi="Arial"/>
          <w:color w:val="333333"/>
          <w:sz w:val="22"/>
          <w:szCs w:val="22"/>
        </w:rPr>
        <w:t xml:space="preserve">Overall Impression text field per exercise</w:t>
      </w:r>
    </w:p>
    <w:p>
      <w:pPr>
        <w:pStyle w:val="ListParagraph"/>
        <w:numPr>
          <w:ilvl w:val="0"/>
          <w:numId w:val="2"/>
        </w:numPr>
        <w:spacing w:after="80"/>
      </w:pPr>
      <w:r>
        <w:rPr>
          <w:rFonts w:ascii="Arial" w:cs="Arial" w:eastAsia="Arial" w:hAnsi="Arial"/>
          <w:color w:val="333333"/>
          <w:sz w:val="22"/>
          <w:szCs w:val="22"/>
        </w:rPr>
        <w:t xml:space="preserve">Timer component showing remaining exercise time</w:t>
      </w:r>
    </w:p>
    <w:p>
      <w:pPr>
        <w:spacing w:after="120"/>
      </w:pPr>
      <w:r>
        <w:rPr>
          <w:rFonts w:ascii="Arial" w:cs="Arial" w:eastAsia="Arial" w:hAnsi="Arial"/>
          <w:b w:val="false"/>
          <w:bCs w:val="false"/>
          <w:i w:val="false"/>
          <w:iCs w:val="false"/>
          <w:color w:val="333333"/>
          <w:sz w:val="22"/>
          <w:szCs w:val="22"/>
        </w:rPr>
        <w:t xml:space="preserve">The six exercise-specific form templates should match the Assessor Packet Section 3: In-Basket, Role Play, Group Exercise, Case Study, Oral Presentation, and CBI.</w:t>
      </w:r>
    </w:p>
    <w:p>
      <w:pPr>
        <w:spacing w:after="50"/>
      </w:pPr>
    </w:p>
    <w:p>
      <w:pPr>
        <w:pStyle w:val="Heading2"/>
      </w:pPr>
      <w:r>
        <w:rPr>
          <w:rFonts w:ascii="Arial" w:cs="Arial" w:eastAsia="Arial" w:hAnsi="Arial"/>
        </w:rPr>
        <w:t xml:space="preserve">3.4 Module 6: Digital Wash-Up Engine (Assessor Portal)</w:t>
      </w:r>
    </w:p>
    <w:p>
      <w:pPr>
        <w:spacing w:after="120"/>
      </w:pPr>
      <w:r>
        <w:rPr>
          <w:rFonts w:ascii="Arial" w:cs="Arial" w:eastAsia="Arial" w:hAnsi="Arial"/>
          <w:b w:val="false"/>
          <w:bCs w:val="false"/>
          <w:i w:val="false"/>
          <w:iCs w:val="false"/>
          <w:color w:val="333333"/>
          <w:sz w:val="22"/>
          <w:szCs w:val="22"/>
        </w:rPr>
        <w:t xml:space="preserve">This is the highest-value differentiator feature. No off-the-shelf platform does this well. The wash-up engine should:</w:t>
      </w:r>
    </w:p>
    <w:p>
      <w:pPr>
        <w:pStyle w:val="ListParagraph"/>
        <w:numPr>
          <w:ilvl w:val="0"/>
          <w:numId w:val="2"/>
        </w:numPr>
        <w:spacing w:after="80"/>
      </w:pPr>
      <w:r>
        <w:rPr>
          <w:rFonts w:ascii="Arial" w:cs="Arial" w:eastAsia="Arial" w:hAnsi="Arial"/>
          <w:color w:val="333333"/>
          <w:sz w:val="22"/>
          <w:szCs w:val="22"/>
        </w:rPr>
        <w:t xml:space="preserve">Pre-Integration View: auto-populate each assessor's Integration Worksheet from their observation forms. Display per-exercise ratings in a matrix (mirrors Assessor Packet Section 5)</w:t>
      </w:r>
    </w:p>
    <w:p>
      <w:pPr>
        <w:pStyle w:val="ListParagraph"/>
        <w:numPr>
          <w:ilvl w:val="0"/>
          <w:numId w:val="2"/>
        </w:numPr>
        <w:spacing w:after="80"/>
      </w:pPr>
      <w:r>
        <w:rPr>
          <w:rFonts w:ascii="Arial" w:cs="Arial" w:eastAsia="Arial" w:hAnsi="Arial"/>
          <w:color w:val="333333"/>
          <w:sz w:val="22"/>
          <w:szCs w:val="22"/>
        </w:rPr>
        <w:t xml:space="preserve">Side-by-Side Comparison: for each competency, display all assessors' ratings and key evidence side by side. Highlight disagreements of more than 1 point</w:t>
      </w:r>
    </w:p>
    <w:p>
      <w:pPr>
        <w:pStyle w:val="ListParagraph"/>
        <w:numPr>
          <w:ilvl w:val="0"/>
          <w:numId w:val="2"/>
        </w:numPr>
        <w:spacing w:after="80"/>
      </w:pPr>
      <w:r>
        <w:rPr>
          <w:rFonts w:ascii="Arial" w:cs="Arial" w:eastAsia="Arial" w:hAnsi="Arial"/>
          <w:color w:val="333333"/>
          <w:sz w:val="22"/>
          <w:szCs w:val="22"/>
        </w:rPr>
        <w:t xml:space="preserve">Facilitation Mode (for Lead Assessor): step-by-step workflow that walks through the wash-up protocol: select candidate, discuss competency-by-competency, record consensus rating, move to next competency, then overall assessment rating</w:t>
      </w:r>
    </w:p>
    <w:p>
      <w:pPr>
        <w:pStyle w:val="ListParagraph"/>
        <w:numPr>
          <w:ilvl w:val="0"/>
          <w:numId w:val="2"/>
        </w:numPr>
        <w:spacing w:after="80"/>
      </w:pPr>
      <w:r>
        <w:rPr>
          <w:rFonts w:ascii="Arial" w:cs="Arial" w:eastAsia="Arial" w:hAnsi="Arial"/>
          <w:color w:val="333333"/>
          <w:sz w:val="22"/>
          <w:szCs w:val="22"/>
        </w:rPr>
        <w:t xml:space="preserve">Real-Time ICC Calculation: compute Intraclass Correlation Coefficient after each consensus rating is entered, showing the running inter-rater reliability score</w:t>
      </w:r>
    </w:p>
    <w:p>
      <w:pPr>
        <w:pStyle w:val="ListParagraph"/>
        <w:numPr>
          <w:ilvl w:val="0"/>
          <w:numId w:val="2"/>
        </w:numPr>
        <w:spacing w:after="80"/>
      </w:pPr>
      <w:r>
        <w:rPr>
          <w:rFonts w:ascii="Arial" w:cs="Arial" w:eastAsia="Arial" w:hAnsi="Arial"/>
          <w:color w:val="333333"/>
          <w:sz w:val="22"/>
          <w:szCs w:val="22"/>
        </w:rPr>
        <w:t xml:space="preserve">Consensus Rating Input: final agreed rating per competency, with audit trail showing who advocated for what</w:t>
      </w:r>
    </w:p>
    <w:p>
      <w:pPr>
        <w:pStyle w:val="ListParagraph"/>
        <w:numPr>
          <w:ilvl w:val="0"/>
          <w:numId w:val="2"/>
        </w:numPr>
        <w:spacing w:after="80"/>
      </w:pPr>
      <w:r>
        <w:rPr>
          <w:rFonts w:ascii="Arial" w:cs="Arial" w:eastAsia="Arial" w:hAnsi="Arial"/>
          <w:color w:val="333333"/>
          <w:sz w:val="22"/>
          <w:szCs w:val="22"/>
        </w:rPr>
        <w:t xml:space="preserve">OAR and Recommendation: final overall assessment rating (1-5) and recommendation (Ready Now / Ready with Development / Not Ready)</w:t>
      </w:r>
    </w:p>
    <w:p>
      <w:pPr>
        <w:pStyle w:val="ListParagraph"/>
        <w:numPr>
          <w:ilvl w:val="0"/>
          <w:numId w:val="2"/>
        </w:numPr>
        <w:spacing w:after="80"/>
      </w:pPr>
      <w:r>
        <w:rPr>
          <w:rFonts w:ascii="Arial" w:cs="Arial" w:eastAsia="Arial" w:hAnsi="Arial"/>
          <w:color w:val="333333"/>
          <w:sz w:val="22"/>
          <w:szCs w:val="22"/>
        </w:rPr>
        <w:t xml:space="preserve">Key Messages: text fields for top 2-3 strengths, top 2-3 development areas, and potential risks</w:t>
      </w:r>
    </w:p>
    <w:p>
      <w:pPr>
        <w:pStyle w:val="ListParagraph"/>
        <w:numPr>
          <w:ilvl w:val="0"/>
          <w:numId w:val="2"/>
        </w:numPr>
        <w:spacing w:after="80"/>
      </w:pPr>
      <w:r>
        <w:rPr>
          <w:rFonts w:ascii="Arial" w:cs="Arial" w:eastAsia="Arial" w:hAnsi="Arial"/>
          <w:color w:val="333333"/>
          <w:sz w:val="22"/>
          <w:szCs w:val="22"/>
        </w:rPr>
        <w:t xml:space="preserve">Final Consensus Rating Sheet: auto-generated grid showing all candidates across all competencies (mirrors Assessor Packet Section 7.3)</w:t>
      </w:r>
    </w:p>
    <w:p>
      <w:pPr>
        <w:spacing w:after="50"/>
      </w:pPr>
    </w:p>
    <w:p>
      <w:pPr>
        <w:pStyle w:val="Heading2"/>
      </w:pPr>
      <w:r>
        <w:rPr>
          <w:rFonts w:ascii="Arial" w:cs="Arial" w:eastAsia="Arial" w:hAnsi="Arial"/>
        </w:rPr>
        <w:t xml:space="preserve">3.5 Phase 2 Deliverables &amp; Claude Code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200"/>
        <w:gridCol w:w="216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Claude Code Prompt (Summary)</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2.1</w:t>
            </w:r>
          </w:p>
        </w:tc>
        <w:tc>
          <w:tcPr>
            <w:tcW w:type="dxa" w:w="4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Build the Engagement Wizard: multi-step form for creating a new assessment center engagement. Include client selection, competency profile builder (with level-based auto-suggestions), exercise selector with matrix validation, and schedule builder.</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Admin: Engagement setup</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2 sessions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2.2</w:t>
            </w:r>
          </w:p>
        </w:tc>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Build the Assessor Assignment and Candidate Management modules. Bulk CSV import for candidates, email invitation with magic link, assessor-to-candidate-exercise mapping UI, registration/consent tracking dashboard.</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Admin: People mgmt</w:t>
            </w:r>
          </w:p>
        </w:tc>
        <w:tc>
          <w:tcPr>
            <w:tcW w:type="dxa" w:w="2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1-2 sessions</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2.3</w:t>
            </w:r>
          </w:p>
        </w:tc>
        <w:tc>
          <w:tcPr>
            <w:tcW w:type="dxa" w:w="4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Build the Digital Assessor Packet views: engagement overview, interactive competency dictionary with behavioral indicators, candidate list, exercise materials viewer (with time-locked access), BARS reference panel.</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Assessor: Packet views</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1-2 sessions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2.4</w:t>
            </w:r>
          </w:p>
        </w:tc>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Build the Digital Observation Forms: six exercise-specific templates with dynamic competency fields, rich text notes, key evidence capture, 1-5 rating input with BARS hover anchors, confidence selector, auto-save, and exercise timer.</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Assessor: Observation</w:t>
            </w:r>
          </w:p>
        </w:tc>
        <w:tc>
          <w:tcPr>
            <w:tcW w:type="dxa" w:w="2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2-3 sessions</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2.5</w:t>
            </w:r>
          </w:p>
        </w:tc>
        <w:tc>
          <w:tcPr>
            <w:tcW w:type="dxa" w:w="4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Build the Digital Wash-Up Engine: pre-integration worksheet auto-population, side-by-side rating comparison with disagreement highlighting, facilitation mode with step-by-step protocol, real-time ICC calculation, consensus rating input, OAR/recommendation, and final consensus rating sheet.</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Assessor: Wash-up</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2-3 sessions</w:t>
            </w:r>
          </w:p>
        </w:tc>
      </w:tr>
    </w:tbl>
    <w:p>
      <w:r>
        <w:br w:type="page"/>
      </w:r>
    </w:p>
    <w:p>
      <w:pPr>
        <w:pStyle w:val="Heading1"/>
      </w:pPr>
      <w:r>
        <w:rPr>
          <w:rFonts w:ascii="Arial" w:cs="Arial" w:eastAsia="Arial" w:hAnsi="Arial"/>
        </w:rPr>
        <w:t xml:space="preserve">4. Phase 3: Reporting, Candidate Portal &amp; Integrations (Weeks 11-14)</w:t>
      </w:r>
    </w:p>
    <w:p>
      <w:pPr>
        <w:spacing w:after="120"/>
      </w:pPr>
      <w:r>
        <w:rPr>
          <w:rFonts w:ascii="Arial" w:cs="Arial" w:eastAsia="Arial" w:hAnsi="Arial"/>
          <w:b w:val="false"/>
          <w:bCs w:val="false"/>
          <w:i w:val="false"/>
          <w:iCs w:val="false"/>
          <w:color w:val="333333"/>
          <w:sz w:val="22"/>
          <w:szCs w:val="22"/>
        </w:rPr>
        <w:t xml:space="preserve">Phase 3 completes Proposition 2 (Modules 3, 7, 8) and implements Proposition 4 (Integration Layer). This phase connects the internal assessment engine to external systems and produces the outputs that clients pay for.</w:t>
      </w:r>
    </w:p>
    <w:p>
      <w:pPr>
        <w:pBdr>
          <w:bottom w:val="single" w:color="0E7C7B" w:sz="4" w:space="1"/>
        </w:pBdr>
        <w:spacing w:after="200" w:before="200"/>
      </w:pPr>
    </w:p>
    <w:p>
      <w:pPr>
        <w:pStyle w:val="Heading2"/>
      </w:pPr>
      <w:r>
        <w:rPr>
          <w:rFonts w:ascii="Arial" w:cs="Arial" w:eastAsia="Arial" w:hAnsi="Arial"/>
        </w:rPr>
        <w:t xml:space="preserve">4.1 Module 3: Candidate Portal &amp; Test Delivery</w:t>
      </w:r>
    </w:p>
    <w:p>
      <w:pPr>
        <w:spacing w:after="120"/>
      </w:pPr>
      <w:r>
        <w:rPr>
          <w:rFonts w:ascii="Arial" w:cs="Arial" w:eastAsia="Arial" w:hAnsi="Arial"/>
          <w:b w:val="false"/>
          <w:bCs w:val="false"/>
          <w:i w:val="false"/>
          <w:iCs w:val="false"/>
          <w:color w:val="333333"/>
          <w:sz w:val="22"/>
          <w:szCs w:val="22"/>
        </w:rPr>
        <w:t xml:space="preserve">The candidate experience from invitation to report access:</w:t>
      </w:r>
    </w:p>
    <w:p>
      <w:pPr>
        <w:pStyle w:val="ListParagraph"/>
        <w:numPr>
          <w:ilvl w:val="0"/>
          <w:numId w:val="2"/>
        </w:numPr>
        <w:spacing w:after="80"/>
      </w:pPr>
      <w:r>
        <w:rPr>
          <w:rFonts w:ascii="Arial" w:cs="Arial" w:eastAsia="Arial" w:hAnsi="Arial"/>
          <w:color w:val="333333"/>
          <w:sz w:val="22"/>
          <w:szCs w:val="22"/>
        </w:rPr>
        <w:t xml:space="preserve">Welcome page: branded landing page with client logo, assessment purpose, and what to expect</w:t>
      </w:r>
    </w:p>
    <w:p>
      <w:pPr>
        <w:pStyle w:val="ListParagraph"/>
        <w:numPr>
          <w:ilvl w:val="0"/>
          <w:numId w:val="2"/>
        </w:numPr>
        <w:spacing w:after="80"/>
      </w:pPr>
      <w:r>
        <w:rPr>
          <w:rFonts w:ascii="Arial" w:cs="Arial" w:eastAsia="Arial" w:hAnsi="Arial"/>
          <w:color w:val="333333"/>
          <w:sz w:val="22"/>
          <w:szCs w:val="22"/>
        </w:rPr>
        <w:t xml:space="preserve">Digital consent: jurisdiction-specific consent form (built in Phase 1) with e-signature</w:t>
      </w:r>
    </w:p>
    <w:p>
      <w:pPr>
        <w:pStyle w:val="ListParagraph"/>
        <w:numPr>
          <w:ilvl w:val="0"/>
          <w:numId w:val="2"/>
        </w:numPr>
        <w:spacing w:after="80"/>
      </w:pPr>
      <w:r>
        <w:rPr>
          <w:rFonts w:ascii="Arial" w:cs="Arial" w:eastAsia="Arial" w:hAnsi="Arial"/>
          <w:color w:val="333333"/>
          <w:sz w:val="22"/>
          <w:szCs w:val="22"/>
        </w:rPr>
        <w:t xml:space="preserve">Assessment dashboard: progress stepper showing completed and upcoming exercises/tests</w:t>
      </w:r>
    </w:p>
    <w:p>
      <w:pPr>
        <w:pStyle w:val="ListParagraph"/>
        <w:numPr>
          <w:ilvl w:val="0"/>
          <w:numId w:val="2"/>
        </w:numPr>
        <w:spacing w:after="80"/>
      </w:pPr>
      <w:r>
        <w:rPr>
          <w:rFonts w:ascii="Arial" w:cs="Arial" w:eastAsia="Arial" w:hAnsi="Arial"/>
          <w:color w:val="333333"/>
          <w:sz w:val="22"/>
          <w:szCs w:val="22"/>
        </w:rPr>
        <w:t xml:space="preserve">Psychometric test launcher: seamless handoff to SHL TalentCentral for cognitive/personality tests, with score retrieval via API</w:t>
      </w:r>
    </w:p>
    <w:p>
      <w:pPr>
        <w:pStyle w:val="ListParagraph"/>
        <w:numPr>
          <w:ilvl w:val="0"/>
          <w:numId w:val="2"/>
        </w:numPr>
        <w:spacing w:after="80"/>
      </w:pPr>
      <w:r>
        <w:rPr>
          <w:rFonts w:ascii="Arial" w:cs="Arial" w:eastAsia="Arial" w:hAnsi="Arial"/>
          <w:color w:val="333333"/>
          <w:sz w:val="22"/>
          <w:szCs w:val="22"/>
        </w:rPr>
        <w:t xml:space="preserve">E-Tray exercise delivery: native in-platform digital inbox simulation with timed access window</w:t>
      </w:r>
    </w:p>
    <w:p>
      <w:pPr>
        <w:pStyle w:val="ListParagraph"/>
        <w:numPr>
          <w:ilvl w:val="0"/>
          <w:numId w:val="2"/>
        </w:numPr>
        <w:spacing w:after="80"/>
      </w:pPr>
      <w:r>
        <w:rPr>
          <w:rFonts w:ascii="Arial" w:cs="Arial" w:eastAsia="Arial" w:hAnsi="Arial"/>
          <w:color w:val="333333"/>
          <w:sz w:val="22"/>
          <w:szCs w:val="22"/>
        </w:rPr>
        <w:t xml:space="preserve">Case study materials: timed document viewer for case study data packs</w:t>
      </w:r>
    </w:p>
    <w:p>
      <w:pPr>
        <w:pStyle w:val="ListParagraph"/>
        <w:numPr>
          <w:ilvl w:val="0"/>
          <w:numId w:val="2"/>
        </w:numPr>
        <w:spacing w:after="80"/>
      </w:pPr>
      <w:r>
        <w:rPr>
          <w:rFonts w:ascii="Arial" w:cs="Arial" w:eastAsia="Arial" w:hAnsi="Arial"/>
          <w:color w:val="333333"/>
          <w:sz w:val="22"/>
          <w:szCs w:val="22"/>
        </w:rPr>
        <w:t xml:space="preserve">Virtual session joiner: one-click join for role play, group exercise, or presentation via embedded video</w:t>
      </w:r>
    </w:p>
    <w:p>
      <w:pPr>
        <w:pStyle w:val="ListParagraph"/>
        <w:numPr>
          <w:ilvl w:val="0"/>
          <w:numId w:val="2"/>
        </w:numPr>
        <w:spacing w:after="80"/>
      </w:pPr>
      <w:r>
        <w:rPr>
          <w:rFonts w:ascii="Arial" w:cs="Arial" w:eastAsia="Arial" w:hAnsi="Arial"/>
          <w:color w:val="333333"/>
          <w:sz w:val="22"/>
          <w:szCs w:val="22"/>
        </w:rPr>
        <w:t xml:space="preserve">Report viewer: access to the final candidate report once released by the lead assessor</w:t>
      </w:r>
    </w:p>
    <w:p>
      <w:pPr>
        <w:spacing w:after="50"/>
      </w:pPr>
    </w:p>
    <w:p>
      <w:pPr>
        <w:pStyle w:val="Heading2"/>
      </w:pPr>
      <w:r>
        <w:rPr>
          <w:rFonts w:ascii="Arial" w:cs="Arial" w:eastAsia="Arial" w:hAnsi="Arial"/>
        </w:rPr>
        <w:t xml:space="preserve">4.2 Module 7: Automated Report Generation</w:t>
      </w:r>
    </w:p>
    <w:p>
      <w:pPr>
        <w:spacing w:after="120"/>
      </w:pPr>
      <w:r>
        <w:rPr>
          <w:rFonts w:ascii="Arial" w:cs="Arial" w:eastAsia="Arial" w:hAnsi="Arial"/>
          <w:b w:val="false"/>
          <w:bCs w:val="false"/>
          <w:i w:val="false"/>
          <w:iCs w:val="false"/>
          <w:color w:val="333333"/>
          <w:sz w:val="22"/>
          <w:szCs w:val="22"/>
        </w:rPr>
        <w:t xml:space="preserve">Candidate reports are the primary deliverable clients receive. The report engine should auto-generate a PDF following the structure in Blueprint Section 8.3:</w:t>
      </w:r>
    </w:p>
    <w:p>
      <w:pPr>
        <w:pStyle w:val="ListParagraph"/>
        <w:numPr>
          <w:ilvl w:val="0"/>
          <w:numId w:val="2"/>
        </w:numPr>
        <w:spacing w:after="80"/>
      </w:pPr>
      <w:r>
        <w:rPr>
          <w:rFonts w:ascii="Arial" w:cs="Arial" w:eastAsia="Arial" w:hAnsi="Arial"/>
          <w:color w:val="333333"/>
          <w:sz w:val="22"/>
          <w:szCs w:val="22"/>
        </w:rPr>
        <w:t xml:space="preserve">Executive Summary page: OAR, key strengths, key development areas, suitability recommendation</w:t>
      </w:r>
    </w:p>
    <w:p>
      <w:pPr>
        <w:pStyle w:val="ListParagraph"/>
        <w:numPr>
          <w:ilvl w:val="0"/>
          <w:numId w:val="2"/>
        </w:numPr>
        <w:spacing w:after="80"/>
      </w:pPr>
      <w:r>
        <w:rPr>
          <w:rFonts w:ascii="Arial" w:cs="Arial" w:eastAsia="Arial" w:hAnsi="Arial"/>
          <w:color w:val="333333"/>
          <w:sz w:val="22"/>
          <w:szCs w:val="22"/>
        </w:rPr>
        <w:t xml:space="preserve">Competency Profile: radar chart (using Recharts or Chart.js) showing candidate ratings against target role requirements</w:t>
      </w:r>
    </w:p>
    <w:p>
      <w:pPr>
        <w:pStyle w:val="ListParagraph"/>
        <w:numPr>
          <w:ilvl w:val="0"/>
          <w:numId w:val="2"/>
        </w:numPr>
        <w:spacing w:after="80"/>
      </w:pPr>
      <w:r>
        <w:rPr>
          <w:rFonts w:ascii="Arial" w:cs="Arial" w:eastAsia="Arial" w:hAnsi="Arial"/>
          <w:color w:val="333333"/>
          <w:sz w:val="22"/>
          <w:szCs w:val="22"/>
        </w:rPr>
        <w:t xml:space="preserve">Competency Detail Pages: for each competency, the consensus rating, behavioral evidence from each exercise (pulled from observation forms), and development recommendations</w:t>
      </w:r>
    </w:p>
    <w:p>
      <w:pPr>
        <w:pStyle w:val="ListParagraph"/>
        <w:numPr>
          <w:ilvl w:val="0"/>
          <w:numId w:val="2"/>
        </w:numPr>
        <w:spacing w:after="80"/>
      </w:pPr>
      <w:r>
        <w:rPr>
          <w:rFonts w:ascii="Arial" w:cs="Arial" w:eastAsia="Arial" w:hAnsi="Arial"/>
          <w:color w:val="333333"/>
          <w:sz w:val="22"/>
          <w:szCs w:val="22"/>
        </w:rPr>
        <w:t xml:space="preserve">Psychometric Results Summary: percentile rankings from SHL scores, personality profile highlights from OPQ32</w:t>
      </w:r>
    </w:p>
    <w:p>
      <w:pPr>
        <w:pStyle w:val="ListParagraph"/>
        <w:numPr>
          <w:ilvl w:val="0"/>
          <w:numId w:val="2"/>
        </w:numPr>
        <w:spacing w:after="80"/>
      </w:pPr>
      <w:r>
        <w:rPr>
          <w:rFonts w:ascii="Arial" w:cs="Arial" w:eastAsia="Arial" w:hAnsi="Arial"/>
          <w:color w:val="333333"/>
          <w:sz w:val="22"/>
          <w:szCs w:val="22"/>
        </w:rPr>
        <w:t xml:space="preserve">Development Plan: AI-assisted (future phase) or template-based recommendations linked to VIFM training programs</w:t>
      </w:r>
    </w:p>
    <w:p>
      <w:pPr>
        <w:pStyle w:val="ListParagraph"/>
        <w:numPr>
          <w:ilvl w:val="0"/>
          <w:numId w:val="2"/>
        </w:numPr>
        <w:spacing w:after="80"/>
      </w:pPr>
      <w:r>
        <w:rPr>
          <w:rFonts w:ascii="Arial" w:cs="Arial" w:eastAsia="Arial" w:hAnsi="Arial"/>
          <w:color w:val="333333"/>
          <w:sz w:val="22"/>
          <w:szCs w:val="22"/>
        </w:rPr>
        <w:t xml:space="preserve">Batch report generation: produce all candidate reports for an engagement in one action</w:t>
      </w:r>
    </w:p>
    <w:p>
      <w:pPr>
        <w:pStyle w:val="ListParagraph"/>
        <w:numPr>
          <w:ilvl w:val="0"/>
          <w:numId w:val="2"/>
        </w:numPr>
        <w:spacing w:after="80"/>
      </w:pPr>
      <w:r>
        <w:rPr>
          <w:rFonts w:ascii="Arial" w:cs="Arial" w:eastAsia="Arial" w:hAnsi="Arial"/>
          <w:color w:val="333333"/>
          <w:sz w:val="22"/>
          <w:szCs w:val="22"/>
        </w:rPr>
        <w:t xml:space="preserve">Client-branded report templates: client logo, colors, and custom cover page</w:t>
      </w:r>
    </w:p>
    <w:p>
      <w:pPr>
        <w:spacing w:after="50"/>
      </w:pPr>
    </w:p>
    <w:p>
      <w:pPr>
        <w:pStyle w:val="Heading2"/>
      </w:pPr>
      <w:r>
        <w:rPr>
          <w:rFonts w:ascii="Arial" w:cs="Arial" w:eastAsia="Arial" w:hAnsi="Arial"/>
        </w:rPr>
        <w:t xml:space="preserve">4.3 Module 8: Analytics Dashboard</w:t>
      </w:r>
    </w:p>
    <w:p>
      <w:pPr>
        <w:spacing w:after="120"/>
      </w:pPr>
      <w:r>
        <w:rPr>
          <w:rFonts w:ascii="Arial" w:cs="Arial" w:eastAsia="Arial" w:hAnsi="Arial"/>
          <w:b w:val="false"/>
          <w:bCs w:val="false"/>
          <w:i w:val="false"/>
          <w:iCs w:val="false"/>
          <w:color w:val="333333"/>
          <w:sz w:val="22"/>
          <w:szCs w:val="22"/>
        </w:rPr>
        <w:t xml:space="preserve">Two levels of analytics:</w:t>
      </w:r>
    </w:p>
    <w:p>
      <w:pPr>
        <w:spacing w:after="120"/>
      </w:pPr>
      <w:r>
        <w:rPr>
          <w:rFonts w:ascii="Arial" w:cs="Arial" w:eastAsia="Arial" w:hAnsi="Arial"/>
          <w:b/>
          <w:bCs/>
          <w:color w:val="333333"/>
          <w:sz w:val="22"/>
          <w:szCs w:val="22"/>
        </w:rPr>
        <w:t xml:space="preserve">Assessment Quality Analytics (Admin view): </w:t>
      </w:r>
      <w:r>
        <w:rPr>
          <w:rFonts w:ascii="Arial" w:cs="Arial" w:eastAsia="Arial" w:hAnsi="Arial"/>
          <w:color w:val="333333"/>
          <w:sz w:val="22"/>
          <w:szCs w:val="22"/>
        </w:rPr>
        <w:t xml:space="preserve">Inter-rater reliability (ICC) trends across engagements, rating distribution analysis per assessor (detecting leniency, central tendency, halo), adverse impact analysis by gender/nationality (four-fifths rule), exercise difficulty and discrimination indices.</w:t>
      </w:r>
    </w:p>
    <w:p>
      <w:pPr>
        <w:spacing w:after="120"/>
      </w:pPr>
      <w:r>
        <w:rPr>
          <w:rFonts w:ascii="Arial" w:cs="Arial" w:eastAsia="Arial" w:hAnsi="Arial"/>
          <w:b/>
          <w:bCs/>
          <w:color w:val="333333"/>
          <w:sz w:val="22"/>
          <w:szCs w:val="22"/>
        </w:rPr>
        <w:t xml:space="preserve">Business Analytics (Admin + Client view): </w:t>
      </w:r>
      <w:r>
        <w:rPr>
          <w:rFonts w:ascii="Arial" w:cs="Arial" w:eastAsia="Arial" w:hAnsi="Arial"/>
          <w:color w:val="333333"/>
          <w:sz w:val="22"/>
          <w:szCs w:val="22"/>
        </w:rPr>
        <w:t xml:space="preserve">Engagements completed, candidates assessed, revenue tracking, client portfolio management, assessor utilization rates, average time-to-report.</w:t>
      </w:r>
    </w:p>
    <w:p>
      <w:pPr>
        <w:spacing w:after="50"/>
      </w:pPr>
    </w:p>
    <w:p>
      <w:pPr>
        <w:pStyle w:val="Heading2"/>
      </w:pPr>
      <w:r>
        <w:rPr>
          <w:rFonts w:ascii="Arial" w:cs="Arial" w:eastAsia="Arial" w:hAnsi="Arial"/>
        </w:rPr>
        <w:t xml:space="preserve">4.4 Integration Layer (Proposition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3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SHL TalentCentral</w:t>
            </w:r>
          </w:p>
        </w:tc>
        <w:tc>
          <w:tcPr>
            <w:tcW w:type="dxa" w:w="36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REST API: create project, invite candidate, retrieve scores and reports</w:t>
            </w:r>
          </w:p>
        </w:tc>
        <w:tc>
          <w:tcPr>
            <w:tcW w:type="dxa" w:w="33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Psychometric test delivery and score retrieval</w:t>
            </w:r>
          </w:p>
        </w:tc>
      </w:tr>
      <w:tr>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Video (Daily.co/Twilio)</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SDK embed: create rooms, manage participants, recording</w:t>
            </w:r>
          </w:p>
        </w:tc>
        <w:tc>
          <w:tcPr>
            <w:tcW w:type="dxa" w:w="3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Virtual assessment center sessions</w:t>
            </w:r>
          </w:p>
        </w:tc>
      </w:tr>
      <w:tr>
        <w:tc>
          <w:tcPr>
            <w:tcW w:type="dxa" w:w="24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Email (SendGrid/Resend)</w:t>
            </w:r>
          </w:p>
        </w:tc>
        <w:tc>
          <w:tcPr>
            <w:tcW w:type="dxa" w:w="36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Transactional email API</w:t>
            </w:r>
          </w:p>
        </w:tc>
        <w:tc>
          <w:tcPr>
            <w:tcW w:type="dxa" w:w="33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Candidate invitations, reminders, report delivery</w:t>
            </w:r>
          </w:p>
        </w:tc>
      </w:tr>
      <w:tr>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Client HRIS</w:t>
            </w:r>
          </w:p>
        </w:tc>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REST API connectors (SAP SuccessFactors, Oracle HCM, Workday)</w:t>
            </w:r>
          </w:p>
        </w:tc>
        <w:tc>
          <w:tcPr>
            <w:tcW w:type="dxa" w:w="33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Push assessment results to client talent systems</w:t>
            </w:r>
          </w:p>
        </w:tc>
      </w:tr>
      <w:tr>
        <w:tc>
          <w:tcPr>
            <w:tcW w:type="dxa" w:w="24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VIFM LMS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Internal API to VIFM training platform</w:t>
            </w:r>
          </w:p>
        </w:tc>
        <w:tc>
          <w:tcPr>
            <w:tcW w:type="dxa" w:w="33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Link development recommendations to training courses</w:t>
            </w:r>
          </w:p>
        </w:tc>
      </w:tr>
    </w:tbl>
    <w:p>
      <w:pPr>
        <w:spacing w:after="100"/>
      </w:pPr>
    </w:p>
    <w:p>
      <w:pPr>
        <w:pStyle w:val="Heading2"/>
      </w:pPr>
      <w:r>
        <w:rPr>
          <w:rFonts w:ascii="Arial" w:cs="Arial" w:eastAsia="Arial" w:hAnsi="Arial"/>
        </w:rPr>
        <w:t xml:space="preserve">4.5 Phase 3 Deliverables &amp; Claude Code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200"/>
        <w:gridCol w:w="216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Claude Code Prompt (Summary)</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3.1</w:t>
            </w:r>
          </w:p>
        </w:tc>
        <w:tc>
          <w:tcPr>
            <w:tcW w:type="dxa" w:w="4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Build the Candidate Portal: branded welcome page, consent flow, assessment dashboard with progress stepper, e-tray exercise delivery (timed digital inbox), case study document viewer, virtual session join button, and report viewer.</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Candidate Portal</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2 sessions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3.2</w:t>
            </w:r>
          </w:p>
        </w:tc>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Build the Report Generation Engine: React-PDF templates for candidate reports with executive summary, radar chart competency profile, competency detail pages with behavioral evidence, psychometric results section, and development plan. Include batch generation and client branding.</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Report engine</w:t>
            </w:r>
          </w:p>
        </w:tc>
        <w:tc>
          <w:tcPr>
            <w:tcW w:type="dxa" w:w="2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2-3 sessions</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3.3</w:t>
            </w:r>
          </w:p>
        </w:tc>
        <w:tc>
          <w:tcPr>
            <w:tcW w:type="dxa" w:w="4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Build the Analytics Dashboard: ICC trend charts (Recharts), assessor rating distribution heatmaps, adverse impact analysis (four-fifths rule calculator), engagement volume/revenue tracking, and client portfolio view.</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Analytics</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1-2 sessions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3.4</w:t>
            </w:r>
          </w:p>
        </w:tc>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Build the SHL TalentCentral integration: API client for project creation, candidate invitation, score retrieval, and report download. Build the email notification service using SendGrid/Resend. Build the video integration wrapper for Daily.co.</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Integrations</w:t>
            </w:r>
          </w:p>
        </w:tc>
        <w:tc>
          <w:tcPr>
            <w:tcW w:type="dxa" w:w="2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2 sessions</w:t>
            </w:r>
          </w:p>
        </w:tc>
      </w:tr>
    </w:tbl>
    <w:p>
      <w:r>
        <w:br w:type="page"/>
      </w:r>
    </w:p>
    <w:p>
      <w:pPr>
        <w:pStyle w:val="Heading1"/>
      </w:pPr>
      <w:r>
        <w:rPr>
          <w:rFonts w:ascii="Arial" w:cs="Arial" w:eastAsia="Arial" w:hAnsi="Arial"/>
        </w:rPr>
        <w:t xml:space="preserve">5. Phase 4: Bilingual &amp; Client Portal (Weeks 15-17)</w:t>
      </w:r>
    </w:p>
    <w:p>
      <w:pPr>
        <w:spacing w:after="120"/>
      </w:pPr>
      <w:r>
        <w:rPr>
          <w:rFonts w:ascii="Arial" w:cs="Arial" w:eastAsia="Arial" w:hAnsi="Arial"/>
          <w:b w:val="false"/>
          <w:bCs w:val="false"/>
          <w:i w:val="false"/>
          <w:iCs w:val="false"/>
          <w:color w:val="333333"/>
          <w:sz w:val="22"/>
          <w:szCs w:val="22"/>
        </w:rPr>
        <w:t xml:space="preserve">Phase 4 implements Proposition 3 (Bilingual Arabic/English) and completes the Client Portal. This is the phase that unlocks the GCC government market.</w:t>
      </w:r>
    </w:p>
    <w:p>
      <w:pPr>
        <w:pBdr>
          <w:bottom w:val="single" w:color="0E7C7B" w:sz="4" w:space="1"/>
        </w:pBdr>
        <w:spacing w:after="200" w:before="200"/>
      </w:pPr>
    </w:p>
    <w:p>
      <w:pPr>
        <w:pStyle w:val="Heading2"/>
      </w:pPr>
      <w:r>
        <w:rPr>
          <w:rFonts w:ascii="Arial" w:cs="Arial" w:eastAsia="Arial" w:hAnsi="Arial"/>
        </w:rPr>
        <w:t xml:space="preserve">5.1 Arabic/RTL Implementation</w:t>
      </w:r>
    </w:p>
    <w:p>
      <w:pPr>
        <w:spacing w:after="120"/>
      </w:pPr>
      <w:r>
        <w:rPr>
          <w:rFonts w:ascii="Arial" w:cs="Arial" w:eastAsia="Arial" w:hAnsi="Arial"/>
          <w:b w:val="false"/>
          <w:bCs w:val="false"/>
          <w:i w:val="false"/>
          <w:iCs w:val="false"/>
          <w:color w:val="333333"/>
          <w:sz w:val="22"/>
          <w:szCs w:val="22"/>
        </w:rPr>
        <w:t xml:space="preserve">This is not simply translating the UI. Claude Code should implement:</w:t>
      </w:r>
    </w:p>
    <w:p>
      <w:pPr>
        <w:pStyle w:val="ListParagraph"/>
        <w:numPr>
          <w:ilvl w:val="0"/>
          <w:numId w:val="2"/>
        </w:numPr>
        <w:spacing w:after="80"/>
      </w:pPr>
      <w:r>
        <w:rPr>
          <w:rFonts w:ascii="Arial" w:cs="Arial" w:eastAsia="Arial" w:hAnsi="Arial"/>
          <w:color w:val="333333"/>
          <w:sz w:val="22"/>
          <w:szCs w:val="22"/>
        </w:rPr>
        <w:t xml:space="preserve">react-i18next configuration with namespace-separated translation files (common, admin, assessor, candidate, client)</w:t>
      </w:r>
    </w:p>
    <w:p>
      <w:pPr>
        <w:pStyle w:val="ListParagraph"/>
        <w:numPr>
          <w:ilvl w:val="0"/>
          <w:numId w:val="2"/>
        </w:numPr>
        <w:spacing w:after="80"/>
      </w:pPr>
      <w:r>
        <w:rPr>
          <w:rFonts w:ascii="Arial" w:cs="Arial" w:eastAsia="Arial" w:hAnsi="Arial"/>
          <w:color w:val="333333"/>
          <w:sz w:val="22"/>
          <w:szCs w:val="22"/>
        </w:rPr>
        <w:t xml:space="preserve">RTL layout support using Tailwind CSS dir utilities and the dir='rtl' HTML attribute</w:t>
      </w:r>
    </w:p>
    <w:p>
      <w:pPr>
        <w:pStyle w:val="ListParagraph"/>
        <w:numPr>
          <w:ilvl w:val="0"/>
          <w:numId w:val="2"/>
        </w:numPr>
        <w:spacing w:after="80"/>
      </w:pPr>
      <w:r>
        <w:rPr>
          <w:rFonts w:ascii="Arial" w:cs="Arial" w:eastAsia="Arial" w:hAnsi="Arial"/>
          <w:color w:val="333333"/>
          <w:sz w:val="22"/>
          <w:szCs w:val="22"/>
        </w:rPr>
        <w:t xml:space="preserve">Arabic translation of all UI labels, navigation, form fields, error messages, and system notifications</w:t>
      </w:r>
    </w:p>
    <w:p>
      <w:pPr>
        <w:pStyle w:val="ListParagraph"/>
        <w:numPr>
          <w:ilvl w:val="0"/>
          <w:numId w:val="2"/>
        </w:numPr>
        <w:spacing w:after="80"/>
      </w:pPr>
      <w:r>
        <w:rPr>
          <w:rFonts w:ascii="Arial" w:cs="Arial" w:eastAsia="Arial" w:hAnsi="Arial"/>
          <w:color w:val="333333"/>
          <w:sz w:val="22"/>
          <w:szCs w:val="22"/>
        </w:rPr>
        <w:t xml:space="preserve">Arabic competency dictionary: professional Arabic translations of all 33 competencies and their behavioral indicators (these must be human-reviewed, not machine-translated)</w:t>
      </w:r>
    </w:p>
    <w:p>
      <w:pPr>
        <w:pStyle w:val="ListParagraph"/>
        <w:numPr>
          <w:ilvl w:val="0"/>
          <w:numId w:val="2"/>
        </w:numPr>
        <w:spacing w:after="80"/>
      </w:pPr>
      <w:r>
        <w:rPr>
          <w:rFonts w:ascii="Arial" w:cs="Arial" w:eastAsia="Arial" w:hAnsi="Arial"/>
          <w:color w:val="333333"/>
          <w:sz w:val="22"/>
          <w:szCs w:val="22"/>
        </w:rPr>
        <w:t xml:space="preserve">Arabic report templates: RTL-formatted candidate reports with Arabic typography</w:t>
      </w:r>
    </w:p>
    <w:p>
      <w:pPr>
        <w:pStyle w:val="ListParagraph"/>
        <w:numPr>
          <w:ilvl w:val="0"/>
          <w:numId w:val="2"/>
        </w:numPr>
        <w:spacing w:after="80"/>
      </w:pPr>
      <w:r>
        <w:rPr>
          <w:rFonts w:ascii="Arial" w:cs="Arial" w:eastAsia="Arial" w:hAnsi="Arial"/>
          <w:color w:val="333333"/>
          <w:sz w:val="22"/>
          <w:szCs w:val="22"/>
        </w:rPr>
        <w:t xml:space="preserve">Arabic observation form labels and BARS scale descriptions</w:t>
      </w:r>
    </w:p>
    <w:p>
      <w:pPr>
        <w:pStyle w:val="ListParagraph"/>
        <w:numPr>
          <w:ilvl w:val="0"/>
          <w:numId w:val="2"/>
        </w:numPr>
        <w:spacing w:after="80"/>
      </w:pPr>
      <w:r>
        <w:rPr>
          <w:rFonts w:ascii="Arial" w:cs="Arial" w:eastAsia="Arial" w:hAnsi="Arial"/>
          <w:color w:val="333333"/>
          <w:sz w:val="22"/>
          <w:szCs w:val="22"/>
        </w:rPr>
        <w:t xml:space="preserve">Language switcher component: persistent user preference stored in profile</w:t>
      </w:r>
    </w:p>
    <w:p>
      <w:pPr>
        <w:pStyle w:val="ListParagraph"/>
        <w:numPr>
          <w:ilvl w:val="0"/>
          <w:numId w:val="2"/>
        </w:numPr>
        <w:spacing w:after="80"/>
      </w:pPr>
      <w:r>
        <w:rPr>
          <w:rFonts w:ascii="Arial" w:cs="Arial" w:eastAsia="Arial" w:hAnsi="Arial"/>
          <w:color w:val="333333"/>
          <w:sz w:val="22"/>
          <w:szCs w:val="22"/>
        </w:rPr>
        <w:t xml:space="preserve">Bidirectional content support: assessors may write observations in English or Arabic within the same form</w:t>
      </w:r>
    </w:p>
    <w:p>
      <w:pPr>
        <w:spacing w:after="50"/>
      </w:pPr>
    </w:p>
    <w:p>
      <w:pPr>
        <w:pStyle w:val="Heading2"/>
      </w:pPr>
      <w:r>
        <w:rPr>
          <w:rFonts w:ascii="Arial" w:cs="Arial" w:eastAsia="Arial" w:hAnsi="Arial"/>
        </w:rPr>
        <w:t xml:space="preserve">5.2 Client Portal</w:t>
      </w:r>
    </w:p>
    <w:p>
      <w:pPr>
        <w:spacing w:after="120"/>
      </w:pPr>
      <w:r>
        <w:rPr>
          <w:rFonts w:ascii="Arial" w:cs="Arial" w:eastAsia="Arial" w:hAnsi="Arial"/>
          <w:b w:val="false"/>
          <w:bCs w:val="false"/>
          <w:i w:val="false"/>
          <w:iCs w:val="false"/>
          <w:color w:val="333333"/>
          <w:sz w:val="22"/>
          <w:szCs w:val="22"/>
        </w:rPr>
        <w:t xml:space="preserve">The Client Portal gives sponsoring organizations visibility into their assessment engagements:</w:t>
      </w:r>
    </w:p>
    <w:p>
      <w:pPr>
        <w:pStyle w:val="ListParagraph"/>
        <w:numPr>
          <w:ilvl w:val="0"/>
          <w:numId w:val="2"/>
        </w:numPr>
        <w:spacing w:after="80"/>
      </w:pPr>
      <w:r>
        <w:rPr>
          <w:rFonts w:ascii="Arial" w:cs="Arial" w:eastAsia="Arial" w:hAnsi="Arial"/>
          <w:color w:val="333333"/>
          <w:sz w:val="22"/>
          <w:szCs w:val="22"/>
        </w:rPr>
        <w:t xml:space="preserve">Client Dashboard: overview of active and completed engagements, candidate pipeline status, summary statistics</w:t>
      </w:r>
    </w:p>
    <w:p>
      <w:pPr>
        <w:pStyle w:val="ListParagraph"/>
        <w:numPr>
          <w:ilvl w:val="0"/>
          <w:numId w:val="2"/>
        </w:numPr>
        <w:spacing w:after="80"/>
      </w:pPr>
      <w:r>
        <w:rPr>
          <w:rFonts w:ascii="Arial" w:cs="Arial" w:eastAsia="Arial" w:hAnsi="Arial"/>
          <w:color w:val="333333"/>
          <w:sz w:val="22"/>
          <w:szCs w:val="22"/>
        </w:rPr>
        <w:t xml:space="preserve">Engagement Tracker: real-time status of each engagement (setup, in-progress, wash-up, reporting, complete)</w:t>
      </w:r>
    </w:p>
    <w:p>
      <w:pPr>
        <w:pStyle w:val="ListParagraph"/>
        <w:numPr>
          <w:ilvl w:val="0"/>
          <w:numId w:val="2"/>
        </w:numPr>
        <w:spacing w:after="80"/>
      </w:pPr>
      <w:r>
        <w:rPr>
          <w:rFonts w:ascii="Arial" w:cs="Arial" w:eastAsia="Arial" w:hAnsi="Arial"/>
          <w:color w:val="333333"/>
          <w:sz w:val="22"/>
          <w:szCs w:val="22"/>
        </w:rPr>
        <w:t xml:space="preserve">Candidate Reports: access to individual and batch candidate reports once released by VIFM</w:t>
      </w:r>
    </w:p>
    <w:p>
      <w:pPr>
        <w:pStyle w:val="ListParagraph"/>
        <w:numPr>
          <w:ilvl w:val="0"/>
          <w:numId w:val="2"/>
        </w:numPr>
        <w:spacing w:after="80"/>
      </w:pPr>
      <w:r>
        <w:rPr>
          <w:rFonts w:ascii="Arial" w:cs="Arial" w:eastAsia="Arial" w:hAnsi="Arial"/>
          <w:color w:val="333333"/>
          <w:sz w:val="22"/>
          <w:szCs w:val="22"/>
        </w:rPr>
        <w:t xml:space="preserve">Talent Analytics: organizational-level competency heatmap showing strengths/gaps across the assessed population, comparison against VIFM benchmark norms</w:t>
      </w:r>
    </w:p>
    <w:p>
      <w:pPr>
        <w:pStyle w:val="ListParagraph"/>
        <w:numPr>
          <w:ilvl w:val="0"/>
          <w:numId w:val="2"/>
        </w:numPr>
        <w:spacing w:after="80"/>
      </w:pPr>
      <w:r>
        <w:rPr>
          <w:rFonts w:ascii="Arial" w:cs="Arial" w:eastAsia="Arial" w:hAnsi="Arial"/>
          <w:color w:val="333333"/>
          <w:sz w:val="22"/>
          <w:szCs w:val="22"/>
        </w:rPr>
        <w:t xml:space="preserve">Invoice and Billing: engagement history with pricing tier, payment status (integrates with VIFM finance systems)</w:t>
      </w:r>
    </w:p>
    <w:p>
      <w:pPr>
        <w:spacing w:after="50"/>
      </w:pPr>
    </w:p>
    <w:p>
      <w:pPr>
        <w:pStyle w:val="Heading2"/>
      </w:pPr>
      <w:r>
        <w:rPr>
          <w:rFonts w:ascii="Arial" w:cs="Arial" w:eastAsia="Arial" w:hAnsi="Arial"/>
        </w:rPr>
        <w:t xml:space="preserve">5.3 Phase 4 Claude Code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200"/>
        <w:gridCol w:w="216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Claude Code Prompt (Summary)</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4.1</w:t>
            </w:r>
          </w:p>
        </w:tc>
        <w:tc>
          <w:tcPr>
            <w:tcW w:type="dxa" w:w="4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Implement react-i18next with RTL support. Create English and Arabic translation files for all portal interfaces. Add language switcher with persistent user preference. Configure Tailwind CSS for bidirectional layout.</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i18n framework</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1-2 sessions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4.2</w:t>
            </w:r>
          </w:p>
        </w:tc>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Create Arabic versions of the competency dictionary, behavioral indicators, BARS scale, observation form labels, and report templates. Implement RTL report generation in React-PDF.</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Arabic content</w:t>
            </w:r>
          </w:p>
        </w:tc>
        <w:tc>
          <w:tcPr>
            <w:tcW w:type="dxa" w:w="2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1-2 sessions</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4.3</w:t>
            </w:r>
          </w:p>
        </w:tc>
        <w:tc>
          <w:tcPr>
            <w:tcW w:type="dxa" w:w="4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Build the Client Portal: dashboard with engagement overview, engagement tracker with status pipeline, candidate report access with permissions, organizational talent analytics (competency heatmap, benchmark comparisons), and billing/invoice history.</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Client Portal</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1-2 sessions</w:t>
            </w:r>
          </w:p>
        </w:tc>
      </w:tr>
    </w:tbl>
    <w:p>
      <w:r>
        <w:br w:type="page"/>
      </w:r>
    </w:p>
    <w:p>
      <w:pPr>
        <w:pStyle w:val="Heading1"/>
      </w:pPr>
      <w:r>
        <w:rPr>
          <w:rFonts w:ascii="Arial" w:cs="Arial" w:eastAsia="Arial" w:hAnsi="Arial"/>
        </w:rPr>
        <w:t xml:space="preserve">6. Phase 5: AI Enhancements (Weeks 18-21)</w:t>
      </w:r>
    </w:p>
    <w:p>
      <w:pPr>
        <w:spacing w:after="120"/>
      </w:pPr>
      <w:r>
        <w:rPr>
          <w:rFonts w:ascii="Arial" w:cs="Arial" w:eastAsia="Arial" w:hAnsi="Arial"/>
          <w:b w:val="false"/>
          <w:bCs w:val="false"/>
          <w:i w:val="false"/>
          <w:iCs w:val="false"/>
          <w:color w:val="333333"/>
          <w:sz w:val="22"/>
          <w:szCs w:val="22"/>
        </w:rPr>
        <w:t xml:space="preserve">Phase 5 implements Proposition 6 (AI-Powered Enhancements). These are premium features that differentiate VIFM-AC from all competitors. They should be built on the Anthropic API using Claude Sonnet 4 as the backbone model.</w:t>
      </w:r>
    </w:p>
    <w:p>
      <w:pPr>
        <w:pBdr>
          <w:bottom w:val="single" w:color="0E7C7B" w:sz="4" w:space="1"/>
        </w:pBdr>
        <w:spacing w:after="200" w:before="200"/>
      </w:pPr>
    </w:p>
    <w:p>
      <w:pPr>
        <w:pStyle w:val="Heading2"/>
      </w:pPr>
      <w:r>
        <w:rPr>
          <w:rFonts w:ascii="Arial" w:cs="Arial" w:eastAsia="Arial" w:hAnsi="Arial"/>
        </w:rPr>
        <w:t xml:space="preserve">6.1 AI Features to Build</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9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User Benefit</w:t>
            </w:r>
          </w:p>
        </w:tc>
      </w:tr>
      <w:tr>
        <w:tc>
          <w:tcPr>
            <w:tcW w:type="dxa" w:w="24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Observation Assistant</w:t>
            </w:r>
          </w:p>
        </w:tc>
        <w:tc>
          <w:tcPr>
            <w:tcW w:type="dxa" w:w="40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Assessor speaks observations; Whisper API transcribes; Claude API tags transcription to competencies and extracts key evidence</w:t>
            </w:r>
          </w:p>
        </w:tc>
        <w:tc>
          <w:tcPr>
            <w:tcW w:type="dxa" w:w="29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Faster note-taking, richer behavioral data captured during live exercises</w:t>
            </w:r>
          </w:p>
        </w:tc>
      </w:tr>
      <w:tr>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Bias Detection</w:t>
            </w:r>
          </w:p>
        </w:tc>
        <w:tc>
          <w:tcPr>
            <w:tcW w:type="dxa" w:w="4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After each exercise, analyze the assessor's ratings against their historical patterns. Flag potential halo effect (all competencies within 1 point), leniency (mean &gt; 3.8), or central tendency (SD &lt; 0.5)</w:t>
            </w:r>
          </w:p>
        </w:tc>
        <w:tc>
          <w:tcPr>
            <w:tcW w:type="dxa" w:w="29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Real-time quality assurance during assessment days</w:t>
            </w:r>
          </w:p>
        </w:tc>
      </w:tr>
      <w:tr>
        <w:tc>
          <w:tcPr>
            <w:tcW w:type="dxa" w:w="24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Report Narrative Drafting</w:t>
            </w:r>
          </w:p>
        </w:tc>
        <w:tc>
          <w:tcPr>
            <w:tcW w:type="dxa" w:w="40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Claude API takes consensus ratings + observation notes and drafts the competency detail narrative sections. Lead Assessor edits and approves.</w:t>
            </w:r>
          </w:p>
        </w:tc>
        <w:tc>
          <w:tcPr>
            <w:tcW w:type="dxa" w:w="29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Reduces report writing time from 2-3 hours to 30-45 minutes per candidate</w:t>
            </w:r>
          </w:p>
        </w:tc>
      </w:tr>
      <w:tr>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Development Recommender</w:t>
            </w:r>
          </w:p>
        </w:tc>
        <w:tc>
          <w:tcPr>
            <w:tcW w:type="dxa" w:w="4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Based on competency gaps (ratings 1-2), Claude API maps to VIFM training catalog and suggests specific courses, learning activities, and on-the-job development actions</w:t>
            </w:r>
          </w:p>
        </w:tc>
        <w:tc>
          <w:tcPr>
            <w:tcW w:type="dxa" w:w="29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Closes the loop between assessment and development; drives training revenue</w:t>
            </w:r>
          </w:p>
        </w:tc>
      </w:tr>
      <w:tr>
        <w:tc>
          <w:tcPr>
            <w:tcW w:type="dxa" w:w="24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bCs/>
                <w:sz w:val="20"/>
                <w:szCs w:val="20"/>
              </w:rPr>
              <w:t xml:space="preserve">Predictive Analytics</w:t>
            </w:r>
          </w:p>
        </w:tc>
        <w:tc>
          <w:tcPr>
            <w:tcW w:type="dxa" w:w="400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Over time, correlate assessment data with client-provided performance outcomes to build predictive validity models</w:t>
            </w:r>
          </w:p>
        </w:tc>
        <w:tc>
          <w:tcPr>
            <w:tcW w:type="dxa" w:w="2960"/>
            <w:tcBorders>
              <w:top w:val="single" w:color="999999" w:sz="1"/>
              <w:left w:val="single" w:color="999999" w:sz="1"/>
              <w:bottom w:val="single" w:color="999999" w:sz="1"/>
              <w:right w:val="single" w:color="999999" w:sz="1"/>
            </w:tcBorders>
            <w:shd w:fill="E8EEF4" w:val="clear"/>
            <w:tcMar>
              <w:top w:type="dxa" w:w="60"/>
              <w:left w:type="dxa" w:w="120"/>
              <w:bottom w:type="dxa" w:w="60"/>
              <w:right w:type="dxa" w:w="120"/>
            </w:tcMar>
          </w:tcPr>
          <w:p>
            <w:r>
              <w:rPr>
                <w:rFonts w:ascii="Arial" w:cs="Arial" w:eastAsia="Arial" w:hAnsi="Arial"/>
                <w:b w:val="false"/>
                <w:bCs w:val="false"/>
                <w:sz w:val="20"/>
                <w:szCs w:val="20"/>
              </w:rPr>
              <w:t xml:space="preserve">Prove ROI to clients; strengthen scientific credibility</w:t>
            </w:r>
          </w:p>
        </w:tc>
      </w:tr>
    </w:tbl>
    <w:p>
      <w:pPr>
        <w:spacing w:after="100"/>
      </w:pPr>
    </w:p>
    <w:p>
      <w:pPr>
        <w:pStyle w:val="Heading2"/>
      </w:pPr>
      <w:r>
        <w:rPr>
          <w:rFonts w:ascii="Arial" w:cs="Arial" w:eastAsia="Arial" w:hAnsi="Arial"/>
        </w:rPr>
        <w:t xml:space="preserve">6.2 Phase 5 Claude Code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2200"/>
        <w:gridCol w:w="2160"/>
      </w:tblGrid>
      <w:t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Claude Code Prompt (Summary)</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Est. Effort</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5.1</w:t>
            </w:r>
          </w:p>
        </w:tc>
        <w:tc>
          <w:tcPr>
            <w:tcW w:type="dxa" w:w="4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Build the Observation Assistant: voice recording component in the observation form, Whisper API integration for transcription, Claude API call to tag transcription to competencies and extract key evidence. Display tagged output in the observation form for assessor review.</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Voice-to-competency</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1-2 sessions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5.2</w:t>
            </w:r>
          </w:p>
        </w:tc>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Build the Bias Detection Engine: after each exercise rating submission, run statistical analysis on the assessor's ratings. Flag halo (ICC within-assessor &lt; threshold), leniency (mean vs. norm), central tendency (low variance). Display contextual warnings in the assessor portal.</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Bias alerts</w:t>
            </w:r>
          </w:p>
        </w:tc>
        <w:tc>
          <w:tcPr>
            <w:tcW w:type="dxa" w:w="2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1 session</w:t>
            </w:r>
          </w:p>
        </w:tc>
      </w:tr>
      <w:tr>
        <w:tc>
          <w:tcPr>
            <w:tcW w:type="dxa" w:w="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5.3</w:t>
            </w:r>
          </w:p>
        </w:tc>
        <w:tc>
          <w:tcPr>
            <w:tcW w:type="dxa" w:w="4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Build the AI Report Writer: Supabase Edge Function that calls Claude Sonnet 4 API with consensus ratings and observation notes as context. Generate draft competency narratives. Build a review/edit UI for the Lead Assessor to accept, modify, or reject each section.</w:t>
            </w:r>
          </w:p>
        </w:tc>
        <w:tc>
          <w:tcPr>
            <w:tcW w:type="dxa" w:w="22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AI report drafting</w:t>
            </w:r>
          </w:p>
        </w:tc>
        <w:tc>
          <w:tcPr>
            <w:tcW w:type="dxa" w:w="21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1-2 sessions</w:t>
            </w:r>
          </w:p>
        </w:tc>
      </w:tr>
      <w:tr>
        <w:tc>
          <w:tcPr>
            <w:tcW w:type="dxa" w:w="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5.4</w:t>
            </w:r>
          </w:p>
        </w:tc>
        <w:tc>
          <w:tcPr>
            <w:tcW w:type="dxa" w:w="4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Build the Development Recommender: map VIFM training catalog into the database. Build a recommendation engine that matches competency gaps to courses. Claude API generates personalized development plan narratives.</w:t>
            </w:r>
          </w:p>
        </w:tc>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Dev recommender</w:t>
            </w:r>
          </w:p>
        </w:tc>
        <w:tc>
          <w:tcPr>
            <w:tcW w:type="dxa" w:w="21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1 session</w:t>
            </w:r>
          </w:p>
        </w:tc>
      </w:tr>
    </w:tbl>
    <w:p>
      <w:r>
        <w:br w:type="page"/>
      </w:r>
    </w:p>
    <w:p>
      <w:pPr>
        <w:pStyle w:val="Heading1"/>
      </w:pPr>
      <w:r>
        <w:rPr>
          <w:rFonts w:ascii="Arial" w:cs="Arial" w:eastAsia="Arial" w:hAnsi="Arial"/>
        </w:rPr>
        <w:t xml:space="preserve">7. Summary Timeline &amp; Milestone Map</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1800"/>
        <w:gridCol w:w="1560"/>
      </w:tblGrid>
      <w:tr>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Sessions</w:t>
            </w:r>
          </w:p>
        </w:tc>
        <w:tc>
          <w:tcPr>
            <w:tcW w:type="dxa" w:w="1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4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Phase 1</w:t>
            </w:r>
          </w:p>
        </w:tc>
        <w:tc>
          <w:tcPr>
            <w:tcW w:type="dxa" w:w="26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Foundation &amp; Architecture</w:t>
            </w:r>
          </w:p>
        </w:tc>
        <w:tc>
          <w:tcPr>
            <w:tcW w:type="dxa" w:w="20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Weeks 1-4</w:t>
            </w:r>
          </w:p>
        </w:tc>
        <w:tc>
          <w:tcPr>
            <w:tcW w:type="dxa" w:w="1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5-7 sessions</w:t>
            </w:r>
          </w:p>
        </w:tc>
        <w:tc>
          <w:tcPr>
            <w:tcW w:type="dxa" w:w="15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Platform runs, users can log in</w:t>
            </w:r>
          </w:p>
        </w:tc>
      </w:tr>
      <w:tr>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Phase 2</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Core Assessment Engine</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Weeks 5-10</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8-12 sessions</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Can run a full AC day digitally</w:t>
            </w:r>
          </w:p>
        </w:tc>
      </w:tr>
      <w:tr>
        <w:tc>
          <w:tcPr>
            <w:tcW w:type="dxa" w:w="14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Phase 3</w:t>
            </w:r>
          </w:p>
        </w:tc>
        <w:tc>
          <w:tcPr>
            <w:tcW w:type="dxa" w:w="26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Reporting, Candidate Portal, Integrations</w:t>
            </w:r>
          </w:p>
        </w:tc>
        <w:tc>
          <w:tcPr>
            <w:tcW w:type="dxa" w:w="20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Weeks 11-14</w:t>
            </w:r>
          </w:p>
        </w:tc>
        <w:tc>
          <w:tcPr>
            <w:tcW w:type="dxa" w:w="1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7-9 sessions</w:t>
            </w:r>
          </w:p>
        </w:tc>
        <w:tc>
          <w:tcPr>
            <w:tcW w:type="dxa" w:w="15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End-to-end workflow complete</w:t>
            </w:r>
          </w:p>
        </w:tc>
      </w:tr>
      <w:tr>
        <w:tc>
          <w:tcPr>
            <w:tcW w:type="dxa" w:w="14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bCs/>
                <w:sz w:val="20"/>
                <w:szCs w:val="20"/>
              </w:rPr>
              <w:t xml:space="preserve">Phase 4</w:t>
            </w:r>
          </w:p>
        </w:tc>
        <w:tc>
          <w:tcPr>
            <w:tcW w:type="dxa" w:w="2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Bilingual &amp; Client Portal</w:t>
            </w:r>
          </w:p>
        </w:tc>
        <w:tc>
          <w:tcPr>
            <w:tcW w:type="dxa" w:w="20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Weeks 15-17</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3-6 sessions</w:t>
            </w:r>
          </w:p>
        </w:tc>
        <w:tc>
          <w:tcPr>
            <w:tcW w:type="dxa" w:w="1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Arial" w:cs="Arial" w:eastAsia="Arial" w:hAnsi="Arial"/>
                <w:b w:val="false"/>
                <w:bCs w:val="false"/>
                <w:sz w:val="20"/>
                <w:szCs w:val="20"/>
              </w:rPr>
              <w:t xml:space="preserve">Arabic launch ready</w:t>
            </w:r>
          </w:p>
        </w:tc>
      </w:tr>
      <w:tr>
        <w:tc>
          <w:tcPr>
            <w:tcW w:type="dxa" w:w="14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bCs/>
                <w:sz w:val="20"/>
                <w:szCs w:val="20"/>
              </w:rPr>
              <w:t xml:space="preserve">Phase 5</w:t>
            </w:r>
          </w:p>
        </w:tc>
        <w:tc>
          <w:tcPr>
            <w:tcW w:type="dxa" w:w="26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AI Enhancements</w:t>
            </w:r>
          </w:p>
        </w:tc>
        <w:tc>
          <w:tcPr>
            <w:tcW w:type="dxa" w:w="20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Weeks 18-21</w:t>
            </w:r>
          </w:p>
        </w:tc>
        <w:tc>
          <w:tcPr>
            <w:tcW w:type="dxa" w:w="180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4-6 sessions</w:t>
            </w:r>
          </w:p>
        </w:tc>
        <w:tc>
          <w:tcPr>
            <w:tcW w:type="dxa" w:w="1560"/>
            <w:tcBorders>
              <w:top w:val="single" w:color="999999" w:sz="1"/>
              <w:left w:val="single" w:color="999999" w:sz="1"/>
              <w:bottom w:val="single" w:color="999999" w:sz="1"/>
              <w:right w:val="single" w:color="999999" w:sz="1"/>
            </w:tcBorders>
            <w:shd w:fill="E5F2F2" w:val="clear"/>
            <w:tcMar>
              <w:top w:type="dxa" w:w="60"/>
              <w:left w:type="dxa" w:w="120"/>
              <w:bottom w:type="dxa" w:w="60"/>
              <w:right w:type="dxa" w:w="120"/>
            </w:tcMar>
          </w:tcPr>
          <w:p>
            <w:r>
              <w:rPr>
                <w:rFonts w:ascii="Arial" w:cs="Arial" w:eastAsia="Arial" w:hAnsi="Arial"/>
                <w:b w:val="false"/>
                <w:bCs w:val="false"/>
                <w:sz w:val="20"/>
                <w:szCs w:val="20"/>
              </w:rPr>
              <w:t xml:space="preserve">AI features live</w:t>
            </w:r>
          </w:p>
        </w:tc>
      </w:tr>
      <w:tr>
        <w:tc>
          <w:tcPr>
            <w:tcW w:type="dxa" w:w="1400"/>
            <w:tcBorders>
              <w:top w:val="single" w:color="999999" w:sz="1"/>
              <w:left w:val="single" w:color="999999" w:sz="1"/>
              <w:bottom w:val="single" w:color="999999" w:sz="1"/>
              <w:right w:val="single" w:color="999999" w:sz="1"/>
            </w:tcBorders>
            <w:shd w:fill="1B3A5C" w:val="clear"/>
            <w:tcMar>
              <w:top w:type="dxa" w:w="60"/>
              <w:left w:type="dxa" w:w="120"/>
              <w:bottom w:type="dxa" w:w="60"/>
              <w:right w:type="dxa" w:w="120"/>
            </w:tcMar>
          </w:tcPr>
          <w:p>
            <w:r>
              <w:rPr>
                <w:rFonts w:ascii="Arial" w:cs="Arial" w:eastAsia="Arial" w:hAnsi="Arial"/>
                <w:b/>
                <w:bCs/>
                <w:sz w:val="20"/>
                <w:szCs w:val="20"/>
              </w:rPr>
              <w:t xml:space="preserve">TOTAL</w:t>
            </w:r>
          </w:p>
        </w:tc>
        <w:tc>
          <w:tcPr>
            <w:tcW w:type="dxa" w:w="2600"/>
            <w:tcBorders>
              <w:top w:val="single" w:color="999999" w:sz="1"/>
              <w:left w:val="single" w:color="999999" w:sz="1"/>
              <w:bottom w:val="single" w:color="999999" w:sz="1"/>
              <w:right w:val="single" w:color="999999"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Full Portal</w:t>
            </w:r>
          </w:p>
        </w:tc>
        <w:tc>
          <w:tcPr>
            <w:tcW w:type="dxa" w:w="2000"/>
            <w:tcBorders>
              <w:top w:val="single" w:color="999999" w:sz="1"/>
              <w:left w:val="single" w:color="999999" w:sz="1"/>
              <w:bottom w:val="single" w:color="999999" w:sz="1"/>
              <w:right w:val="single" w:color="999999"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21 weeks</w:t>
            </w:r>
          </w:p>
        </w:tc>
        <w:tc>
          <w:tcPr>
            <w:tcW w:type="dxa" w:w="1800"/>
            <w:tcBorders>
              <w:top w:val="single" w:color="999999" w:sz="1"/>
              <w:left w:val="single" w:color="999999" w:sz="1"/>
              <w:bottom w:val="single" w:color="999999" w:sz="1"/>
              <w:right w:val="single" w:color="999999"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27-40 sessions</w:t>
            </w:r>
          </w:p>
        </w:tc>
        <w:tc>
          <w:tcPr>
            <w:tcW w:type="dxa" w:w="1560"/>
            <w:tcBorders>
              <w:top w:val="single" w:color="999999" w:sz="1"/>
              <w:left w:val="single" w:color="999999" w:sz="1"/>
              <w:bottom w:val="single" w:color="999999" w:sz="1"/>
              <w:right w:val="single" w:color="999999" w:sz="1"/>
            </w:tcBorders>
            <w:shd w:fill="1B3A5C" w:val="clear"/>
            <w:tcMar>
              <w:top w:type="dxa" w:w="60"/>
              <w:left w:type="dxa" w:w="120"/>
              <w:bottom w:type="dxa" w:w="60"/>
              <w:right w:type="dxa" w:w="120"/>
            </w:tcMar>
          </w:tcPr>
          <w:p>
            <w:r>
              <w:rPr>
                <w:rFonts w:ascii="Arial" w:cs="Arial" w:eastAsia="Arial" w:hAnsi="Arial"/>
                <w:b/>
                <w:bCs/>
                <w:color w:val="FFFFFF"/>
                <w:sz w:val="20"/>
                <w:szCs w:val="20"/>
              </w:rPr>
              <w:t xml:space="preserve">Production ready</w:t>
            </w:r>
          </w:p>
        </w:tc>
      </w:tr>
    </w:tbl>
    <w:p>
      <w:pPr>
        <w:spacing w:after="200"/>
      </w:pPr>
    </w:p>
    <w:p>
      <w:pPr>
        <w:pStyle w:val="Heading1"/>
      </w:pPr>
      <w:r>
        <w:rPr>
          <w:rFonts w:ascii="Arial" w:cs="Arial" w:eastAsia="Arial" w:hAnsi="Arial"/>
        </w:rPr>
        <w:t xml:space="preserve">8. Critical Success Factors</w:t>
      </w:r>
    </w:p>
    <w:p>
      <w:pPr>
        <w:pStyle w:val="ListParagraph"/>
        <w:numPr>
          <w:ilvl w:val="0"/>
          <w:numId w:val="2"/>
        </w:numPr>
        <w:spacing w:after="80"/>
      </w:pPr>
      <w:r>
        <w:rPr>
          <w:rFonts w:ascii="Arial" w:cs="Arial" w:eastAsia="Arial" w:hAnsi="Arial"/>
          <w:color w:val="333333"/>
          <w:sz w:val="22"/>
          <w:szCs w:val="22"/>
        </w:rPr>
        <w:t xml:space="preserve">Phase 1 must be airtight before proceeding: the database schema and RLS policies are the foundation everything depends on. Rushing this will create cascading technical debt.</w:t>
      </w:r>
    </w:p>
    <w:p>
      <w:pPr>
        <w:pStyle w:val="ListParagraph"/>
        <w:numPr>
          <w:ilvl w:val="0"/>
          <w:numId w:val="2"/>
        </w:numPr>
        <w:spacing w:after="80"/>
      </w:pPr>
      <w:r>
        <w:rPr>
          <w:rFonts w:ascii="Arial" w:cs="Arial" w:eastAsia="Arial" w:hAnsi="Arial"/>
          <w:color w:val="333333"/>
          <w:sz w:val="22"/>
          <w:szCs w:val="22"/>
        </w:rPr>
        <w:t xml:space="preserve">The Wash-Up Engine (Module 6) is the single most important differentiator: invest extra time here. No competitor platform does this well.</w:t>
      </w:r>
    </w:p>
    <w:p>
      <w:pPr>
        <w:pStyle w:val="ListParagraph"/>
        <w:numPr>
          <w:ilvl w:val="0"/>
          <w:numId w:val="2"/>
        </w:numPr>
        <w:spacing w:after="80"/>
      </w:pPr>
      <w:r>
        <w:rPr>
          <w:rFonts w:ascii="Arial" w:cs="Arial" w:eastAsia="Arial" w:hAnsi="Arial"/>
          <w:color w:val="333333"/>
          <w:sz w:val="22"/>
          <w:szCs w:val="22"/>
        </w:rPr>
        <w:t xml:space="preserve">Arabic content must be professionally translated, not machine-generated: budget for human review of all competency framework translations.</w:t>
      </w:r>
    </w:p>
    <w:p>
      <w:pPr>
        <w:pStyle w:val="ListParagraph"/>
        <w:numPr>
          <w:ilvl w:val="0"/>
          <w:numId w:val="2"/>
        </w:numPr>
        <w:spacing w:after="80"/>
      </w:pPr>
      <w:r>
        <w:rPr>
          <w:rFonts w:ascii="Arial" w:cs="Arial" w:eastAsia="Arial" w:hAnsi="Arial"/>
          <w:color w:val="333333"/>
          <w:sz w:val="22"/>
          <w:szCs w:val="22"/>
        </w:rPr>
        <w:t xml:space="preserve">SHL API access requires a commercial licensing agreement: this must be negotiated in parallel with development (SHL will not provide API credentials without a contract).</w:t>
      </w:r>
    </w:p>
    <w:p>
      <w:pPr>
        <w:pStyle w:val="ListParagraph"/>
        <w:numPr>
          <w:ilvl w:val="0"/>
          <w:numId w:val="2"/>
        </w:numPr>
        <w:spacing w:after="80"/>
      </w:pPr>
      <w:r>
        <w:rPr>
          <w:rFonts w:ascii="Arial" w:cs="Arial" w:eastAsia="Arial" w:hAnsi="Arial"/>
          <w:color w:val="333333"/>
          <w:sz w:val="22"/>
          <w:szCs w:val="22"/>
        </w:rPr>
        <w:t xml:space="preserve">Test with real assessors early: run a simulated assessment day on the platform by end of Phase 2 to validate the observation and scoring workflow before building reports.</w:t>
      </w:r>
    </w:p>
    <w:p>
      <w:pPr>
        <w:pStyle w:val="ListParagraph"/>
        <w:numPr>
          <w:ilvl w:val="0"/>
          <w:numId w:val="2"/>
        </w:numPr>
        <w:spacing w:after="80"/>
      </w:pPr>
      <w:r>
        <w:rPr>
          <w:rFonts w:ascii="Arial" w:cs="Arial" w:eastAsia="Arial" w:hAnsi="Arial"/>
          <w:color w:val="333333"/>
          <w:sz w:val="22"/>
          <w:szCs w:val="22"/>
        </w:rPr>
        <w:t xml:space="preserve">Each Claude Code session should focus on one deliverable: do not try to build multiple modules in a single session. The prompts in this document are scoped to produce one working feature per session.</w:t>
      </w:r>
    </w:p>
    <w:p>
      <w:pPr>
        <w:spacing w:after="200"/>
      </w:pPr>
    </w:p>
    <w:p>
      <w:pPr>
        <w:pStyle w:val="Heading1"/>
      </w:pPr>
      <w:r>
        <w:rPr>
          <w:rFonts w:ascii="Arial" w:cs="Arial" w:eastAsia="Arial" w:hAnsi="Arial"/>
        </w:rPr>
        <w:t xml:space="preserve">9. How to Use This Plan with Claude Code</w:t>
      </w:r>
    </w:p>
    <w:p>
      <w:pPr>
        <w:spacing w:after="120"/>
      </w:pPr>
      <w:r>
        <w:rPr>
          <w:rFonts w:ascii="Arial" w:cs="Arial" w:eastAsia="Arial" w:hAnsi="Arial"/>
          <w:b w:val="false"/>
          <w:bCs w:val="false"/>
          <w:i w:val="false"/>
          <w:iCs w:val="false"/>
          <w:color w:val="333333"/>
          <w:sz w:val="22"/>
          <w:szCs w:val="22"/>
        </w:rPr>
        <w:t xml:space="preserve">This project plan is designed to be executed directly with Claude Code (Anthropic's command-line agentic coding tool). Here is the recommended workflow:</w:t>
      </w:r>
    </w:p>
    <w:p>
      <w:pPr>
        <w:spacing w:after="50"/>
      </w:pPr>
    </w:p>
    <w:p>
      <w:pPr>
        <w:spacing w:after="120"/>
      </w:pPr>
      <w:r>
        <w:rPr>
          <w:rFonts w:ascii="Arial" w:cs="Arial" w:eastAsia="Arial" w:hAnsi="Arial"/>
          <w:b/>
          <w:bCs/>
          <w:color w:val="333333"/>
          <w:sz w:val="22"/>
          <w:szCs w:val="22"/>
        </w:rPr>
        <w:t xml:space="preserve">Step 1: </w:t>
      </w:r>
      <w:r>
        <w:rPr>
          <w:rFonts w:ascii="Arial" w:cs="Arial" w:eastAsia="Arial" w:hAnsi="Arial"/>
          <w:color w:val="333333"/>
          <w:sz w:val="22"/>
          <w:szCs w:val="22"/>
        </w:rPr>
        <w:t xml:space="preserve">Start a Claude Code session. Upload or reference this project plan document and the two VIFM Blueprint/Assessor Packet documents as context.</w:t>
      </w:r>
    </w:p>
    <w:p>
      <w:pPr>
        <w:spacing w:after="120"/>
      </w:pPr>
      <w:r>
        <w:rPr>
          <w:rFonts w:ascii="Arial" w:cs="Arial" w:eastAsia="Arial" w:hAnsi="Arial"/>
          <w:b/>
          <w:bCs/>
          <w:color w:val="333333"/>
          <w:sz w:val="22"/>
          <w:szCs w:val="22"/>
        </w:rPr>
        <w:t xml:space="preserve">Step 2: </w:t>
      </w:r>
      <w:r>
        <w:rPr>
          <w:rFonts w:ascii="Arial" w:cs="Arial" w:eastAsia="Arial" w:hAnsi="Arial"/>
          <w:color w:val="333333"/>
          <w:sz w:val="22"/>
          <w:szCs w:val="22"/>
        </w:rPr>
        <w:t xml:space="preserve">Begin with Prompt 1.1 (project scaffold). Give Claude Code the exact prompt from the table in Section 2.5. Let it complete the scaffold before moving on.</w:t>
      </w:r>
    </w:p>
    <w:p>
      <w:pPr>
        <w:spacing w:after="120"/>
      </w:pPr>
      <w:r>
        <w:rPr>
          <w:rFonts w:ascii="Arial" w:cs="Arial" w:eastAsia="Arial" w:hAnsi="Arial"/>
          <w:b/>
          <w:bCs/>
          <w:color w:val="333333"/>
          <w:sz w:val="22"/>
          <w:szCs w:val="22"/>
        </w:rPr>
        <w:t xml:space="preserve">Step 3: </w:t>
      </w:r>
      <w:r>
        <w:rPr>
          <w:rFonts w:ascii="Arial" w:cs="Arial" w:eastAsia="Arial" w:hAnsi="Arial"/>
          <w:color w:val="333333"/>
          <w:sz w:val="22"/>
          <w:szCs w:val="22"/>
        </w:rPr>
        <w:t xml:space="preserve">After each prompt completes, review the output, test it, and commit the code to your Git repository.</w:t>
      </w:r>
    </w:p>
    <w:p>
      <w:pPr>
        <w:spacing w:after="120"/>
      </w:pPr>
      <w:r>
        <w:rPr>
          <w:rFonts w:ascii="Arial" w:cs="Arial" w:eastAsia="Arial" w:hAnsi="Arial"/>
          <w:b/>
          <w:bCs/>
          <w:color w:val="333333"/>
          <w:sz w:val="22"/>
          <w:szCs w:val="22"/>
        </w:rPr>
        <w:t xml:space="preserve">Step 4: </w:t>
      </w:r>
      <w:r>
        <w:rPr>
          <w:rFonts w:ascii="Arial" w:cs="Arial" w:eastAsia="Arial" w:hAnsi="Arial"/>
          <w:color w:val="333333"/>
          <w:sz w:val="22"/>
          <w:szCs w:val="22"/>
        </w:rPr>
        <w:t xml:space="preserve">Move to the next prompt in sequence. Each prompt builds on the previous one. If Claude Code needs context from previous sessions, provide it with the current codebase.</w:t>
      </w:r>
    </w:p>
    <w:p>
      <w:pPr>
        <w:spacing w:after="120"/>
      </w:pPr>
      <w:r>
        <w:rPr>
          <w:rFonts w:ascii="Arial" w:cs="Arial" w:eastAsia="Arial" w:hAnsi="Arial"/>
          <w:b/>
          <w:bCs/>
          <w:color w:val="333333"/>
          <w:sz w:val="22"/>
          <w:szCs w:val="22"/>
        </w:rPr>
        <w:t xml:space="preserve">Step 5: </w:t>
      </w:r>
      <w:r>
        <w:rPr>
          <w:rFonts w:ascii="Arial" w:cs="Arial" w:eastAsia="Arial" w:hAnsi="Arial"/>
          <w:color w:val="333333"/>
          <w:sz w:val="22"/>
          <w:szCs w:val="22"/>
        </w:rPr>
        <w:t xml:space="preserve">At the end of each Phase, conduct an integration test: does the Phase milestone work end-to-end? Only proceed to the next Phase after the current one is solid.</w:t>
      </w:r>
    </w:p>
    <w:p>
      <w:pPr>
        <w:spacing w:after="100"/>
      </w:pPr>
    </w:p>
    <w:p>
      <w:pPr>
        <w:spacing w:after="120"/>
      </w:pPr>
      <w:r>
        <w:rPr>
          <w:rFonts w:ascii="Arial" w:cs="Arial" w:eastAsia="Arial" w:hAnsi="Arial"/>
          <w:b w:val="false"/>
          <w:bCs w:val="false"/>
          <w:i w:val="false"/>
          <w:iCs w:val="false"/>
          <w:color w:val="333333"/>
          <w:sz w:val="22"/>
          <w:szCs w:val="22"/>
        </w:rPr>
        <w:t xml:space="preserve">If you encounter issues or want to adjust scope during development, you can return to this plan, modify the prompt for that specific task, and re-run it. The modular structure ensures that changing one module does not require rebuilding others.</w:t>
      </w:r>
    </w:p>
    <w:p>
      <w:pPr>
        <w:spacing w:after="200"/>
      </w:pPr>
    </w:p>
    <w:p>
      <w:pPr>
        <w:pBdr>
          <w:top w:val="single" w:color="D4A843" w:sz="4" w:space="8"/>
        </w:pBdr>
        <w:spacing w:before="400"/>
        <w:jc w:val="center"/>
      </w:pPr>
      <w:r>
        <w:rPr>
          <w:rFonts w:ascii="Arial" w:cs="Arial" w:eastAsia="Arial" w:hAnsi="Arial"/>
          <w:b/>
          <w:bCs/>
          <w:color w:val="1B3A5C"/>
          <w:sz w:val="20"/>
          <w:szCs w:val="20"/>
        </w:rPr>
        <w:t xml:space="preserve">END OF PROJECT PLAN</w:t>
      </w:r>
    </w:p>
    <w:p>
      <w:pPr>
        <w:spacing w:after="100"/>
        <w:jc w:val="center"/>
      </w:pPr>
      <w:r>
        <w:rPr>
          <w:rFonts w:ascii="Arial" w:cs="Arial" w:eastAsia="Arial" w:hAnsi="Arial"/>
          <w:color w:val="888888"/>
          <w:sz w:val="18"/>
          <w:szCs w:val="18"/>
        </w:rPr>
        <w:t xml:space="preserve">Virginia Institute of Finance and Management (VIFM)</w:t>
      </w:r>
    </w:p>
    <w:p>
      <w:pPr>
        <w:jc w:val="center"/>
      </w:pPr>
      <w:r>
        <w:rPr>
          <w:rFonts w:ascii="Arial" w:cs="Arial" w:eastAsia="Arial" w:hAnsi="Arial"/>
          <w:color w:val="888888"/>
          <w:sz w:val="18"/>
          <w:szCs w:val="18"/>
        </w:rPr>
        <w:t xml:space="preserve">Version 1.0 | March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jc w:val="center"/>
    </w:pPr>
    <w:r>
      <w:rPr>
        <w:rFonts w:ascii="Arial" w:cs="Arial" w:eastAsia="Arial" w:hAnsi="Arial"/>
        <w:color w:val="999999"/>
        <w:sz w:val="16"/>
        <w:szCs w:val="16"/>
      </w:rPr>
      <w:t xml:space="preserve">VIFM Assessment Center | Confidential</w:t>
    </w:r>
    <w:r>
      <w:rPr>
        <w:rFonts w:ascii="Arial" w:cs="Arial" w:eastAsia="Arial" w:hAnsi="Arial"/>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7B" w:sz="4" w:space="4"/>
      </w:pBdr>
    </w:pPr>
    <w:r>
      <w:rPr>
        <w:rFonts w:ascii="Arial" w:cs="Arial" w:eastAsia="Arial" w:hAnsi="Arial"/>
        <w:i/>
        <w:iCs/>
        <w:color w:val="999999"/>
        <w:sz w:val="16"/>
        <w:szCs w:val="16"/>
      </w:rPr>
      <w:t xml:space="preserve">VIFM-AC Portal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E7C7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2026-03-31T09:36:00.559Z</dcterms:created>
  <dcterms:modified xsi:type="dcterms:W3CDTF">2026-03-31T09:36:00.560Z</dcterms:modified>
</cp:coreProperties>
</file>

<file path=docProps/custom.xml><?xml version="1.0" encoding="utf-8"?>
<Properties xmlns="http://schemas.openxmlformats.org/officeDocument/2006/custom-properties" xmlns:vt="http://schemas.openxmlformats.org/officeDocument/2006/docPropsVTypes"/>
</file>