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10131"/>
          <w:sz w:val="52"/>
          <w:szCs w:val="52"/>
        </w:rPr>
        <w:t xml:space="preserve">VIFM ASSESSMENT CENTER</w:t>
      </w:r>
    </w:p>
    <w:p>
      <w:pPr>
        <w:spacing w:after="100"/>
        <w:jc w:val="center"/>
      </w:pPr>
      <w:r>
        <w:rPr>
          <w:rFonts w:ascii="Arial" w:cs="Arial" w:eastAsia="Arial" w:hAnsi="Arial"/>
          <w:b/>
          <w:bCs/>
          <w:color w:val="1A3A6B"/>
          <w:sz w:val="48"/>
          <w:szCs w:val="48"/>
        </w:rPr>
        <w:t xml:space="preserve">FRAMEWORK BLUEPRINT</w:t>
      </w:r>
    </w:p>
    <w:p>
      <w:pPr>
        <w:pBdr>
          <w:bottom w:val="single" w:color="5391D5" w:sz="6" w:space="1"/>
        </w:pBdr>
        <w:spacing w:after="600"/>
        <w:jc w:val="center"/>
      </w:pPr>
    </w:p>
    <w:p>
      <w:pPr>
        <w:spacing w:after="100"/>
        <w:jc w:val="center"/>
      </w:pPr>
      <w:r>
        <w:rPr>
          <w:rFonts w:ascii="Arial" w:cs="Arial" w:eastAsia="Arial" w:hAnsi="Arial"/>
          <w:i/>
          <w:iCs/>
          <w:color w:val="5391D5"/>
          <w:sz w:val="28"/>
          <w:szCs w:val="28"/>
        </w:rPr>
        <w:t xml:space="preserve">Establishing a World-Class Talent Assessment Practice</w:t>
      </w:r>
    </w:p>
    <w:p>
      <w:pPr>
        <w:spacing w:after="600"/>
        <w:jc w:val="center"/>
      </w:pPr>
      <w:r>
        <w:rPr>
          <w:rFonts w:ascii="Arial" w:cs="Arial" w:eastAsia="Arial" w:hAnsi="Arial"/>
          <w:color w:val="666666"/>
          <w:sz w:val="24"/>
          <w:szCs w:val="24"/>
        </w:rPr>
        <w:t xml:space="preserve">Benchmarked Against SHL &amp; Korn Ferry Standards</w:t>
      </w:r>
    </w:p>
    <w:p>
      <w:pPr>
        <w:spacing w:after="100"/>
        <w:jc w:val="center"/>
      </w:pPr>
      <w:r>
        <w:rPr>
          <w:rFonts w:ascii="Arial" w:cs="Arial" w:eastAsia="Arial" w:hAnsi="Arial"/>
          <w:b/>
          <w:bCs/>
          <w:color w:val="1A3A6B"/>
          <w:sz w:val="24"/>
          <w:szCs w:val="24"/>
        </w:rPr>
        <w:t xml:space="preserve">Virginia Institute of Finance and Management (VIFM)</w:t>
      </w:r>
    </w:p>
    <w:p>
      <w:pPr>
        <w:spacing w:after="100"/>
        <w:jc w:val="center"/>
      </w:pPr>
      <w:r>
        <w:rPr>
          <w:rFonts w:ascii="Arial" w:cs="Arial" w:eastAsia="Arial" w:hAnsi="Arial"/>
          <w:color w:val="666666"/>
          <w:sz w:val="22"/>
          <w:szCs w:val="22"/>
        </w:rPr>
        <w:t xml:space="preserve">Dubai | Riyadh | Cairo | London | Virginia</w:t>
      </w:r>
    </w:p>
    <w:p>
      <w:pPr>
        <w:spacing w:after="100"/>
        <w:jc w:val="center"/>
      </w:pPr>
      <w:r>
        <w:rPr>
          <w:rFonts w:ascii="Arial" w:cs="Arial" w:eastAsia="Arial" w:hAnsi="Arial"/>
          <w:color w:val="666666"/>
          <w:sz w:val="22"/>
          <w:szCs w:val="22"/>
        </w:rPr>
        <w:t xml:space="preserve">Version 1.0 | March 2026</w:t>
      </w:r>
    </w:p>
    <w:p>
      <w:pPr>
        <w:spacing w:after="100"/>
        <w:jc w:val="center"/>
      </w:pPr>
      <w:r>
        <w:rPr>
          <w:rFonts w:ascii="Arial" w:cs="Arial" w:eastAsia="Arial" w:hAnsi="Arial"/>
          <w:b/>
          <w:bCs/>
          <w:color w:val="010131"/>
          <w:sz w:val="22"/>
          <w:szCs w:val="22"/>
        </w:rPr>
        <w:t xml:space="preserve">CONFIDENTIAL</w:t>
      </w:r>
    </w:p>
    <w:p>
      <w:pPr>
        <w:sectPr>
          <w:pgSz w:w="12240" w:h="15840" w:orient="portrait"/>
          <w:pgMar w:top="1440" w:right="1440" w:bottom="1440" w:left="1440" w:header="708" w:footer="708" w:gutter="0"/>
          <w:pgNumType/>
          <w:docGrid w:linePitch="360"/>
        </w:sectPr>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Strategic Overview</w:t>
      </w:r>
    </w:p>
    <w:p>
      <w:pPr>
        <w:pStyle w:val="Heading2"/>
      </w:pPr>
      <w:r>
        <w:t xml:space="preserve">1.1 Vision Statement</w:t>
      </w:r>
    </w:p>
    <w:p>
      <w:pPr>
        <w:spacing w:after="160"/>
      </w:pPr>
      <w:r>
        <w:rPr>
          <w:rFonts w:ascii="Arial" w:cs="Arial" w:eastAsia="Arial" w:hAnsi="Arial"/>
          <w:color w:val="333333"/>
          <w:sz w:val="22"/>
          <w:szCs w:val="22"/>
        </w:rPr>
        <w:t xml:space="preserve">VIFM Assessment Center (VIFM-AC) will be a regional leader in talent assessment services across the GCC and MENA region, delivering scientifically validated, culturally calibrated assessment solutions for government, banking, and corporate clients. VIFM-AC will combine the scientific rigor of internationally recognized assessment methodology with deep regional expertise and bilingual (English/Arabic) capability.</w:t>
      </w:r>
    </w:p>
    <w:p>
      <w:pPr>
        <w:pStyle w:val="Heading2"/>
      </w:pPr>
      <w:r>
        <w:t xml:space="preserve">1.2 Strategic Positioning</w:t>
      </w:r>
    </w:p>
    <w:p>
      <w:pPr>
        <w:spacing w:after="160"/>
      </w:pPr>
      <w:r>
        <w:rPr>
          <w:rFonts w:ascii="Arial" w:cs="Arial" w:eastAsia="Arial" w:hAnsi="Arial"/>
          <w:color w:val="333333"/>
          <w:sz w:val="22"/>
          <w:szCs w:val="22"/>
        </w:rPr>
        <w:t xml:space="preserve">The assessment center vertical positions VIFM at the intersection of three market forces: the GCC's accelerating nationalization programs (Saudization, Emiratization, Omanization), the growing demand for evidence-based talent decisions, and the relative scarcity of regionally headquartered, Arabic-capable assessment providers that meet international standards.</w:t>
      </w:r>
    </w:p>
    <w:p>
      <w:pPr>
        <w:pStyle w:val="Heading2"/>
      </w:pPr>
      <w:r>
        <w:t xml:space="preserve">1.3 Competitive Landscape</w:t>
      </w:r>
    </w:p>
    <w:p>
      <w:pPr>
        <w:spacing w:after="160"/>
      </w:pPr>
      <w:r>
        <w:rPr>
          <w:rFonts w:ascii="Arial" w:cs="Arial" w:eastAsia="Arial" w:hAnsi="Arial"/>
          <w:color w:val="333333"/>
          <w:sz w:val="22"/>
          <w:szCs w:val="22"/>
        </w:rPr>
        <w:t xml:space="preserve">The global assessment market is dominated by two major players whose models inform the VIFM-AC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SHL (Exponent PE)</w:t>
            </w:r>
          </w:p>
        </w:tc>
        <w:tc>
          <w:tcPr>
            <w:tcW w:type="dxa" w:w="35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Korn Ferry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Strength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Cognitive ability tests (Verify G+), OPQ personality, SJTs, virtual AC platform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Leadership Architect (38 competencies), Four Dimensions model, KF Assess platform</w:t>
            </w:r>
          </w:p>
        </w:tc>
      </w:tr>
      <w:tr>
        <w:tc>
          <w:tcPr>
            <w:tcW w:type="dxa" w:w="22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35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Universal Competency Framework (UCF) with 8 factors and 20 competencies</w:t>
            </w:r>
          </w:p>
        </w:tc>
        <w:tc>
          <w:tcPr>
            <w:tcW w:type="dxa" w:w="35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4 Factors (Thought, Results, People, Self) with 12 clusters and 38 competencies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Cognitive Tools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Verify Interactive: numerical, deductive, inductive reasoning (36 min, 30 items)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Talent Q Elements/Aspects: adaptive numerical, verbal, logical reasoning</w:t>
            </w:r>
          </w:p>
        </w:tc>
      </w:tr>
      <w:tr>
        <w:tc>
          <w:tcPr>
            <w:tcW w:type="dxa" w:w="22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Delivery</w:t>
            </w:r>
          </w:p>
        </w:tc>
        <w:tc>
          <w:tcPr>
            <w:tcW w:type="dxa" w:w="35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Primarily digital/virtual with in-person options</w:t>
            </w:r>
          </w:p>
        </w:tc>
        <w:tc>
          <w:tcPr>
            <w:tcW w:type="dxa" w:w="35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Hybrid: digital assessments + consultant-led AC programs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GCC Presence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Licensed partners; limited direct Arabic capability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Offices in Dubai, Riyadh; stronger Arabic localization</w:t>
            </w:r>
          </w:p>
        </w:tc>
      </w:tr>
    </w:tbl>
    <w:p>
      <w:pPr>
        <w:spacing w:after="80"/>
      </w:pPr>
    </w:p>
    <w:p>
      <w:pPr>
        <w:pStyle w:val="Heading2"/>
      </w:pPr>
      <w:r>
        <w:t xml:space="preserve">1.4 VIFM Competitive Advantage</w:t>
      </w:r>
    </w:p>
    <w:p>
      <w:pPr>
        <w:pStyle w:val="ListParagraph"/>
        <w:numPr>
          <w:ilvl w:val="0"/>
          <w:numId w:val="2"/>
        </w:numPr>
        <w:spacing w:after="80"/>
      </w:pPr>
      <w:r>
        <w:rPr>
          <w:rFonts w:ascii="Arial" w:cs="Arial" w:eastAsia="Arial" w:hAnsi="Arial"/>
          <w:b/>
          <w:bCs/>
          <w:color w:val="1A3A6B"/>
          <w:sz w:val="22"/>
          <w:szCs w:val="22"/>
        </w:rPr>
        <w:t xml:space="preserve">Regional Expertise: </w:t>
      </w:r>
      <w:r>
        <w:rPr>
          <w:rFonts w:ascii="Arial" w:cs="Arial" w:eastAsia="Arial" w:hAnsi="Arial"/>
          <w:color w:val="333333"/>
          <w:sz w:val="22"/>
          <w:szCs w:val="22"/>
        </w:rPr>
        <w:t xml:space="preserve">Deep understanding of GCC government structures, banking regulations (SAMA, CBUAE), and cultural dynamics that global players lack.</w:t>
      </w:r>
    </w:p>
    <w:p>
      <w:pPr>
        <w:pStyle w:val="ListParagraph"/>
        <w:numPr>
          <w:ilvl w:val="0"/>
          <w:numId w:val="2"/>
        </w:numPr>
        <w:spacing w:after="80"/>
      </w:pPr>
      <w:r>
        <w:rPr>
          <w:rFonts w:ascii="Arial" w:cs="Arial" w:eastAsia="Arial" w:hAnsi="Arial"/>
          <w:b/>
          <w:bCs/>
          <w:color w:val="1A3A6B"/>
          <w:sz w:val="22"/>
          <w:szCs w:val="22"/>
        </w:rPr>
        <w:t xml:space="preserve">Bilingual Capability: </w:t>
      </w:r>
      <w:r>
        <w:rPr>
          <w:rFonts w:ascii="Arial" w:cs="Arial" w:eastAsia="Arial" w:hAnsi="Arial"/>
          <w:color w:val="333333"/>
          <w:sz w:val="22"/>
          <w:szCs w:val="22"/>
        </w:rPr>
        <w:t xml:space="preserve">Full English delivery at launch with Arabic add-on, covering assessment materials, reports, and feedback sessions.</w:t>
      </w:r>
    </w:p>
    <w:p>
      <w:pPr>
        <w:pStyle w:val="ListParagraph"/>
        <w:numPr>
          <w:ilvl w:val="0"/>
          <w:numId w:val="2"/>
        </w:numPr>
        <w:spacing w:after="80"/>
      </w:pPr>
      <w:r>
        <w:rPr>
          <w:rFonts w:ascii="Arial" w:cs="Arial" w:eastAsia="Arial" w:hAnsi="Arial"/>
          <w:b/>
          <w:bCs/>
          <w:color w:val="1A3A6B"/>
          <w:sz w:val="22"/>
          <w:szCs w:val="22"/>
        </w:rPr>
        <w:t xml:space="preserve">Hybrid Tool Strategy: </w:t>
      </w:r>
      <w:r>
        <w:rPr>
          <w:rFonts w:ascii="Arial" w:cs="Arial" w:eastAsia="Arial" w:hAnsi="Arial"/>
          <w:color w:val="333333"/>
          <w:sz w:val="22"/>
          <w:szCs w:val="22"/>
        </w:rPr>
        <w:t xml:space="preserve">Licensed psychometric instruments for instant credibility combined with proprietary business simulations tailored to GCC industry contexts.</w:t>
      </w:r>
    </w:p>
    <w:p>
      <w:pPr>
        <w:pStyle w:val="ListParagraph"/>
        <w:numPr>
          <w:ilvl w:val="0"/>
          <w:numId w:val="2"/>
        </w:numPr>
        <w:spacing w:after="80"/>
      </w:pPr>
      <w:r>
        <w:rPr>
          <w:rFonts w:ascii="Arial" w:cs="Arial" w:eastAsia="Arial" w:hAnsi="Arial"/>
          <w:b/>
          <w:bCs/>
          <w:color w:val="1A3A6B"/>
          <w:sz w:val="22"/>
          <w:szCs w:val="22"/>
        </w:rPr>
        <w:t xml:space="preserve">Integration with Training: </w:t>
      </w:r>
      <w:r>
        <w:rPr>
          <w:rFonts w:ascii="Arial" w:cs="Arial" w:eastAsia="Arial" w:hAnsi="Arial"/>
          <w:color w:val="333333"/>
          <w:sz w:val="22"/>
          <w:szCs w:val="22"/>
        </w:rPr>
        <w:t xml:space="preserve">Unique ability to connect assessment outcomes directly to VIFM's training programs, creating a closed-loop talent development ecosystem.</w:t>
      </w:r>
    </w:p>
    <w:p>
      <w:pPr>
        <w:pStyle w:val="ListParagraph"/>
        <w:numPr>
          <w:ilvl w:val="0"/>
          <w:numId w:val="2"/>
        </w:numPr>
        <w:spacing w:after="80"/>
      </w:pPr>
      <w:r>
        <w:rPr>
          <w:rFonts w:ascii="Arial" w:cs="Arial" w:eastAsia="Arial" w:hAnsi="Arial"/>
          <w:b/>
          <w:bCs/>
          <w:color w:val="1A3A6B"/>
          <w:sz w:val="22"/>
          <w:szCs w:val="22"/>
        </w:rPr>
        <w:t xml:space="preserve">Cost Efficiency: </w:t>
      </w:r>
      <w:r>
        <w:rPr>
          <w:rFonts w:ascii="Arial" w:cs="Arial" w:eastAsia="Arial" w:hAnsi="Arial"/>
          <w:color w:val="333333"/>
          <w:sz w:val="22"/>
          <w:szCs w:val="22"/>
        </w:rPr>
        <w:t xml:space="preserve">Regional delivery base provides 30-40% cost advantage over global providers for equivalent quality.</w:t>
      </w:r>
    </w:p>
    <w:p>
      <w:r>
        <w:br w:type="page"/>
      </w:r>
    </w:p>
    <w:p>
      <w:pPr>
        <w:pStyle w:val="Heading1"/>
      </w:pPr>
      <w:r>
        <w:t xml:space="preserve">2. Governance and Standards Alignment</w:t>
      </w:r>
    </w:p>
    <w:p>
      <w:pPr>
        <w:pStyle w:val="Heading2"/>
      </w:pPr>
      <w:r>
        <w:t xml:space="preserve">2.1 International Taskforce Guidelines</w:t>
      </w:r>
    </w:p>
    <w:p>
      <w:pPr>
        <w:spacing w:after="160"/>
      </w:pPr>
      <w:r>
        <w:rPr>
          <w:rFonts w:ascii="Arial" w:cs="Arial" w:eastAsia="Arial" w:hAnsi="Arial"/>
          <w:color w:val="333333"/>
          <w:sz w:val="22"/>
          <w:szCs w:val="22"/>
        </w:rPr>
        <w:t xml:space="preserve">All VIFM-AC operations will comply with the International Taskforce on Assessment Center Guidelines (currently in its 6th edition, endorsed by the International Congress on Assessment Center Methods). These guidelines, authored by leading I/O psychologists from institutions including Purdue University, University of Georgia, Colorado State University, and Deloitte, define the minimum requirements for a procedure to be classified as an assessment center.</w:t>
      </w:r>
    </w:p>
    <w:p>
      <w:pPr>
        <w:spacing w:after="80"/>
      </w:pPr>
    </w:p>
    <w:p>
      <w:pPr>
        <w:spacing w:after="160"/>
      </w:pPr>
      <w:r>
        <w:rPr>
          <w:rFonts w:ascii="Arial" w:cs="Arial" w:eastAsia="Arial" w:hAnsi="Arial"/>
          <w:color w:val="333333"/>
          <w:sz w:val="22"/>
          <w:szCs w:val="22"/>
        </w:rPr>
        <w:t xml:space="preserve">The 10 essential elements mandated by the Guidelines that VIFM-AC will adhere to are:</w:t>
      </w:r>
    </w:p>
    <w:p>
      <w:pPr>
        <w:pStyle w:val="ListParagraph"/>
        <w:numPr>
          <w:ilvl w:val="0"/>
          <w:numId w:val="3"/>
        </w:numPr>
        <w:spacing w:after="80"/>
      </w:pPr>
      <w:r>
        <w:rPr>
          <w:rFonts w:ascii="Arial" w:cs="Arial" w:eastAsia="Arial" w:hAnsi="Arial"/>
          <w:color w:val="333333"/>
          <w:sz w:val="22"/>
          <w:szCs w:val="22"/>
        </w:rPr>
        <w:t xml:space="preserve">Job analysis to determine competencies/dimensions and identify assessment exercises</w:t>
      </w:r>
    </w:p>
    <w:p>
      <w:pPr>
        <w:pStyle w:val="ListParagraph"/>
        <w:numPr>
          <w:ilvl w:val="0"/>
          <w:numId w:val="3"/>
        </w:numPr>
        <w:spacing w:after="80"/>
      </w:pPr>
      <w:r>
        <w:rPr>
          <w:rFonts w:ascii="Arial" w:cs="Arial" w:eastAsia="Arial" w:hAnsi="Arial"/>
          <w:color w:val="333333"/>
          <w:sz w:val="22"/>
          <w:szCs w:val="22"/>
        </w:rPr>
        <w:t xml:space="preserve">Behavioral classification using predetermined, job-relevant competency dimensions</w:t>
      </w:r>
    </w:p>
    <w:p>
      <w:pPr>
        <w:pStyle w:val="ListParagraph"/>
        <w:numPr>
          <w:ilvl w:val="0"/>
          <w:numId w:val="3"/>
        </w:numPr>
        <w:spacing w:after="80"/>
      </w:pPr>
      <w:r>
        <w:rPr>
          <w:rFonts w:ascii="Arial" w:cs="Arial" w:eastAsia="Arial" w:hAnsi="Arial"/>
          <w:color w:val="333333"/>
          <w:sz w:val="22"/>
          <w:szCs w:val="22"/>
        </w:rPr>
        <w:t xml:space="preserve">Multiple assessment techniques, including at least one high-fidelity job simulation</w:t>
      </w:r>
    </w:p>
    <w:p>
      <w:pPr>
        <w:pStyle w:val="ListParagraph"/>
        <w:numPr>
          <w:ilvl w:val="0"/>
          <w:numId w:val="3"/>
        </w:numPr>
        <w:spacing w:after="80"/>
      </w:pPr>
      <w:r>
        <w:rPr>
          <w:rFonts w:ascii="Arial" w:cs="Arial" w:eastAsia="Arial" w:hAnsi="Arial"/>
          <w:color w:val="333333"/>
          <w:sz w:val="22"/>
          <w:szCs w:val="22"/>
        </w:rPr>
        <w:t xml:space="preserve">Multiple assessors for each candidate</w:t>
      </w:r>
    </w:p>
    <w:p>
      <w:pPr>
        <w:pStyle w:val="ListParagraph"/>
        <w:numPr>
          <w:ilvl w:val="0"/>
          <w:numId w:val="3"/>
        </w:numPr>
        <w:spacing w:after="80"/>
      </w:pPr>
      <w:r>
        <w:rPr>
          <w:rFonts w:ascii="Arial" w:cs="Arial" w:eastAsia="Arial" w:hAnsi="Arial"/>
          <w:color w:val="333333"/>
          <w:sz w:val="22"/>
          <w:szCs w:val="22"/>
        </w:rPr>
        <w:t xml:space="preserve">Systematic assessor training in observation, classification, and evaluation</w:t>
      </w:r>
    </w:p>
    <w:p>
      <w:pPr>
        <w:pStyle w:val="ListParagraph"/>
        <w:numPr>
          <w:ilvl w:val="0"/>
          <w:numId w:val="3"/>
        </w:numPr>
        <w:spacing w:after="80"/>
      </w:pPr>
      <w:r>
        <w:rPr>
          <w:rFonts w:ascii="Arial" w:cs="Arial" w:eastAsia="Arial" w:hAnsi="Arial"/>
          <w:color w:val="333333"/>
          <w:sz w:val="22"/>
          <w:szCs w:val="22"/>
        </w:rPr>
        <w:t xml:space="preserve">Recording of specific behavioral observations during or immediately after exercises</w:t>
      </w:r>
    </w:p>
    <w:p>
      <w:pPr>
        <w:pStyle w:val="ListParagraph"/>
        <w:numPr>
          <w:ilvl w:val="0"/>
          <w:numId w:val="3"/>
        </w:numPr>
        <w:spacing w:after="80"/>
      </w:pPr>
      <w:r>
        <w:rPr>
          <w:rFonts w:ascii="Arial" w:cs="Arial" w:eastAsia="Arial" w:hAnsi="Arial"/>
          <w:color w:val="333333"/>
          <w:sz w:val="22"/>
          <w:szCs w:val="22"/>
        </w:rPr>
        <w:t xml:space="preserve">Integration of observations through a structured data integration discussion</w:t>
      </w:r>
    </w:p>
    <w:p>
      <w:pPr>
        <w:pStyle w:val="ListParagraph"/>
        <w:numPr>
          <w:ilvl w:val="0"/>
          <w:numId w:val="3"/>
        </w:numPr>
        <w:spacing w:after="80"/>
      </w:pPr>
      <w:r>
        <w:rPr>
          <w:rFonts w:ascii="Arial" w:cs="Arial" w:eastAsia="Arial" w:hAnsi="Arial"/>
          <w:color w:val="333333"/>
          <w:sz w:val="22"/>
          <w:szCs w:val="22"/>
        </w:rPr>
        <w:t xml:space="preserve">Assessors preparing reports of candidate observations before the integration discussion</w:t>
      </w:r>
    </w:p>
    <w:p>
      <w:pPr>
        <w:pStyle w:val="ListParagraph"/>
        <w:numPr>
          <w:ilvl w:val="0"/>
          <w:numId w:val="3"/>
        </w:numPr>
        <w:spacing w:after="80"/>
      </w:pPr>
      <w:r>
        <w:rPr>
          <w:rFonts w:ascii="Arial" w:cs="Arial" w:eastAsia="Arial" w:hAnsi="Arial"/>
          <w:color w:val="333333"/>
          <w:sz w:val="22"/>
          <w:szCs w:val="22"/>
        </w:rPr>
        <w:t xml:space="preserve">Integration of assessment information based on pooled assessor judgments or statistical methods</w:t>
      </w:r>
    </w:p>
    <w:p>
      <w:pPr>
        <w:pStyle w:val="ListParagraph"/>
        <w:numPr>
          <w:ilvl w:val="0"/>
          <w:numId w:val="3"/>
        </w:numPr>
        <w:spacing w:after="80"/>
      </w:pPr>
      <w:r>
        <w:rPr>
          <w:rFonts w:ascii="Arial" w:cs="Arial" w:eastAsia="Arial" w:hAnsi="Arial"/>
          <w:color w:val="333333"/>
          <w:sz w:val="22"/>
          <w:szCs w:val="22"/>
        </w:rPr>
        <w:t xml:space="preserve">Clearly documented evaluation procedures consistent with these guidelines</w:t>
      </w:r>
    </w:p>
    <w:p>
      <w:pPr>
        <w:pStyle w:val="Heading2"/>
      </w:pPr>
      <w:r>
        <w:t xml:space="preserve">2.2 ISO 10667 Compliance</w:t>
      </w:r>
    </w:p>
    <w:p>
      <w:pPr>
        <w:spacing w:after="160"/>
      </w:pPr>
      <w:r>
        <w:rPr>
          <w:rFonts w:ascii="Arial" w:cs="Arial" w:eastAsia="Arial" w:hAnsi="Arial"/>
          <w:color w:val="333333"/>
          <w:sz w:val="22"/>
          <w:szCs w:val="22"/>
        </w:rPr>
        <w:t xml:space="preserve">VIFM-AC will align with ISO 10667 (Assessment of People in Work and Organizational Settings), which provides a framework for the delivery of assessment services. This standard covers responsibilities of both the assessment service provider (VIFM) and the client, covering areas such as assessment purpose, data protection, qualifications of assessors, and the rights of assessed individuals. Compliance with ISO 10667 will be a key differentiator when bidding for government contracts in the GCC.</w:t>
      </w:r>
    </w:p>
    <w:p>
      <w:pPr>
        <w:pStyle w:val="Heading2"/>
      </w:pPr>
      <w:r>
        <w:t xml:space="preserve">2.3 British Psychological Society (BPS) Standards</w:t>
      </w:r>
    </w:p>
    <w:p>
      <w:pPr>
        <w:spacing w:after="160"/>
      </w:pPr>
      <w:r>
        <w:rPr>
          <w:rFonts w:ascii="Arial" w:cs="Arial" w:eastAsia="Arial" w:hAnsi="Arial"/>
          <w:color w:val="333333"/>
          <w:sz w:val="22"/>
          <w:szCs w:val="22"/>
        </w:rPr>
        <w:t xml:space="preserve">VIFM-AC will align its design, implementation, and evaluation processes with the BPS Guidelines for Assessment and Development Centres. The BPS framework, which references the US Guidelines and Ethical Considerations for Assessment Center Operations, provides practical guidance on distinguishing between assessment and development centers, exercise design, assessor selection and training, and feedback to participants. Dr. Ahmad Arashi's credentials and expertise will be instrumental in ensuring adherence to these standards.</w:t>
      </w:r>
    </w:p>
    <w:p>
      <w:pPr>
        <w:pStyle w:val="Heading2"/>
      </w:pPr>
      <w:r>
        <w:t xml:space="preserve">2.4 Data Protection and Ethics</w:t>
      </w:r>
    </w:p>
    <w:p>
      <w:pPr>
        <w:spacing w:after="160"/>
      </w:pPr>
      <w:r>
        <w:rPr>
          <w:rFonts w:ascii="Arial" w:cs="Arial" w:eastAsia="Arial" w:hAnsi="Arial"/>
          <w:color w:val="333333"/>
          <w:sz w:val="22"/>
          <w:szCs w:val="22"/>
        </w:rPr>
        <w:t xml:space="preserve">VIFM-AC will implement data handling procedures compliant with the UAE Federal Decree-Law No. 45 of 2021 (Data Protection Law), Saudi Arabia's Personal Data Protection Law (PDPL), and GDPR for any operations involving EU/UK clients. This includes secure storage of assessment data, candidate consent protocols, data retention schedules (maximum 2 years unless contractually extended), and the right of candidates to receive feedback on their assessment results.</w:t>
      </w:r>
    </w:p>
    <w:p>
      <w:r>
        <w:br w:type="page"/>
      </w:r>
    </w:p>
    <w:p>
      <w:pPr>
        <w:pStyle w:val="Heading1"/>
      </w:pPr>
      <w:r>
        <w:t xml:space="preserve">3. Competency Framework Architecture</w:t>
      </w:r>
    </w:p>
    <w:p>
      <w:pPr>
        <w:pStyle w:val="Heading2"/>
      </w:pPr>
      <w:r>
        <w:t xml:space="preserve">3.1 Framework Design Philosophy</w:t>
      </w:r>
    </w:p>
    <w:p>
      <w:pPr>
        <w:spacing w:after="160"/>
      </w:pPr>
      <w:r>
        <w:rPr>
          <w:rFonts w:ascii="Arial" w:cs="Arial" w:eastAsia="Arial" w:hAnsi="Arial"/>
          <w:color w:val="333333"/>
          <w:sz w:val="22"/>
          <w:szCs w:val="22"/>
        </w:rPr>
        <w:t xml:space="preserve">VIFM-AC will adopt a tiered competency framework that balances universality with customization. The framework draws from research-backed models (Korn Ferry Leadership Architect's 38 competencies and SHL's Universal Competency Framework) while incorporating region-specific competencies relevant to GCC markets. The framework will serve as the foundation for all assessment activities: exercise design, assessor rating forms, integration discussions, and candidate reports.</w:t>
      </w:r>
    </w:p>
    <w:p>
      <w:pPr>
        <w:pStyle w:val="Heading2"/>
      </w:pPr>
      <w:r>
        <w:t xml:space="preserve">3.2 Core Competency Architecture</w:t>
      </w:r>
    </w:p>
    <w:p>
      <w:pPr>
        <w:spacing w:after="160"/>
      </w:pPr>
      <w:r>
        <w:rPr>
          <w:rFonts w:ascii="Arial" w:cs="Arial" w:eastAsia="Arial" w:hAnsi="Arial"/>
          <w:color w:val="333333"/>
          <w:sz w:val="22"/>
          <w:szCs w:val="22"/>
        </w:rPr>
        <w:t xml:space="preserve">The VIFM-AC Competency Model is organized into four domains, each containing clusters of competencies: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Cluster</w:t>
            </w:r>
          </w:p>
        </w:tc>
        <w:tc>
          <w:tcPr>
            <w:tcW w:type="dxa" w:w="48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Competencies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THINKING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Strategic Thinking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Strategic Mindset, Business Insight, Financial Acumen, Analytical Reasoning, Decision Quality</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THINKING</w:t>
            </w:r>
          </w:p>
        </w:tc>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Innovation</w:t>
            </w:r>
          </w:p>
        </w:tc>
        <w:tc>
          <w:tcPr>
            <w:tcW w:type="dxa" w:w="4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Cultivates Innovation, Manages Complexity, Global Perspective, Digital Fluency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 Oriented, Drives Results, Ensures Accountability, Plans and Aligns, Optimizes Processes</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Change</w:t>
            </w:r>
          </w:p>
        </w:tc>
        <w:tc>
          <w:tcPr>
            <w:tcW w:type="dxa" w:w="4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Manages Ambiguity, Nimble Learning, Being Resilient, Drives Vision and 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PEOPLE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Influence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Communicates Effectively, Persuades, Manages Conflict, Negotiation, Builds Networks</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PEOPLE</w:t>
            </w:r>
          </w:p>
        </w:tc>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Team Leadership</w:t>
            </w:r>
          </w:p>
        </w:tc>
        <w:tc>
          <w:tcPr>
            <w:tcW w:type="dxa" w:w="4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Develops Talent, Builds Effective Teams, Collaboration, Instills Trust, Situational Adaptability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Character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Self-Awareness, Emotional Intelligence, Courage, Integrity, Cultural Sensitivity</w:t>
            </w: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SELF</w:t>
            </w:r>
          </w:p>
        </w:tc>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Personal Effectiveness</w:t>
            </w:r>
          </w:p>
        </w:tc>
        <w:tc>
          <w:tcPr>
            <w:tcW w:type="dxa" w:w="4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Learning Agility, Self-Development, Composure, Work-Life Balance, Resourcefulness</w:t>
            </w:r>
          </w:p>
        </w:tc>
      </w:tr>
    </w:tbl>
    <w:p>
      <w:pPr>
        <w:spacing w:after="80"/>
      </w:pPr>
    </w:p>
    <w:p>
      <w:pPr>
        <w:pStyle w:val="Heading2"/>
      </w:pPr>
      <w:r>
        <w:t xml:space="preserve">3.3 Tiered Competency Profiles</w:t>
      </w:r>
    </w:p>
    <w:p>
      <w:pPr>
        <w:spacing w:after="160"/>
      </w:pPr>
      <w:r>
        <w:rPr>
          <w:rFonts w:ascii="Arial" w:cs="Arial" w:eastAsia="Arial" w:hAnsi="Arial"/>
          <w:color w:val="333333"/>
          <w:sz w:val="22"/>
          <w:szCs w:val="22"/>
        </w:rPr>
        <w:t xml:space="preserve">Not all competencies are equally relevant at every organizational level. VIFM-AC will use tiered profiles that weight competencies differently based on the candidate level being assessed: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Competency Domain</w:t>
            </w:r>
          </w:p>
        </w:tc>
        <w:tc>
          <w:tcPr>
            <w:tcW w:type="dxa" w:w="25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Junior/Mid-Level</w:t>
            </w:r>
          </w:p>
        </w:tc>
        <w:tc>
          <w:tcPr>
            <w:tcW w:type="dxa" w:w="25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Senior Managers</w:t>
            </w:r>
          </w:p>
        </w:tc>
        <w:tc>
          <w:tcPr>
            <w:tcW w:type="dxa" w:w="25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C-Suite/Executive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THINKING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Analytical Reasoning, Decision Quality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Strategic Mindset, Business Insight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Global Perspective, Financial Acumen</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25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Action Oriented, Plans and Aligns</w:t>
            </w:r>
          </w:p>
        </w:tc>
        <w:tc>
          <w:tcPr>
            <w:tcW w:type="dxa" w:w="25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Drives Results, Ensures Accountability</w:t>
            </w:r>
          </w:p>
        </w:tc>
        <w:tc>
          <w:tcPr>
            <w:tcW w:type="dxa" w:w="25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Drives Vision and Purpose, Manages Ambiguity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PEOPLE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Communicates Effectively, Collaboration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Develops Talent, Builds Teams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Persuades, Builds Networks, Manages Conflict</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SELF</w:t>
            </w:r>
          </w:p>
        </w:tc>
        <w:tc>
          <w:tcPr>
            <w:tcW w:type="dxa" w:w="25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Learning Agility, Self-Development</w:t>
            </w:r>
          </w:p>
        </w:tc>
        <w:tc>
          <w:tcPr>
            <w:tcW w:type="dxa" w:w="25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Self-Awareness, Composure</w:t>
            </w:r>
          </w:p>
        </w:tc>
        <w:tc>
          <w:tcPr>
            <w:tcW w:type="dxa" w:w="25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Courage, Emotional Intelligence, Integrity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Typical # of Competencies Assessed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8-10</w:t>
            </w:r>
          </w:p>
        </w:tc>
      </w:tr>
    </w:tbl>
    <w:p>
      <w:pPr>
        <w:spacing w:after="80"/>
      </w:pPr>
    </w:p>
    <w:p>
      <w:pPr>
        <w:pStyle w:val="Heading2"/>
      </w:pPr>
      <w:r>
        <w:t xml:space="preserve">3.4 Client Customization Protocol</w:t>
      </w:r>
    </w:p>
    <w:p>
      <w:pPr>
        <w:spacing w:after="160"/>
      </w:pPr>
      <w:r>
        <w:rPr>
          <w:rFonts w:ascii="Arial" w:cs="Arial" w:eastAsia="Arial" w:hAnsi="Arial"/>
          <w:color w:val="333333"/>
          <w:sz w:val="22"/>
          <w:szCs w:val="22"/>
        </w:rPr>
        <w:t xml:space="preserve">While the core framework provides a universal foundation, VIFM-AC will customize competency profiles for each client engagement through a structured process:</w:t>
      </w:r>
    </w:p>
    <w:p>
      <w:pPr>
        <w:pStyle w:val="ListParagraph"/>
        <w:numPr>
          <w:ilvl w:val="0"/>
          <w:numId w:val="4"/>
        </w:numPr>
        <w:spacing w:after="80"/>
      </w:pPr>
      <w:r>
        <w:rPr>
          <w:rFonts w:ascii="Arial" w:cs="Arial" w:eastAsia="Arial" w:hAnsi="Arial"/>
          <w:color w:val="333333"/>
          <w:sz w:val="22"/>
          <w:szCs w:val="22"/>
        </w:rPr>
        <w:t xml:space="preserve">Client briefing to understand organizational strategy, culture, and the target role(s)</w:t>
      </w:r>
    </w:p>
    <w:p>
      <w:pPr>
        <w:pStyle w:val="ListParagraph"/>
        <w:numPr>
          <w:ilvl w:val="0"/>
          <w:numId w:val="4"/>
        </w:numPr>
        <w:spacing w:after="80"/>
      </w:pPr>
      <w:r>
        <w:rPr>
          <w:rFonts w:ascii="Arial" w:cs="Arial" w:eastAsia="Arial" w:hAnsi="Arial"/>
          <w:color w:val="333333"/>
          <w:sz w:val="22"/>
          <w:szCs w:val="22"/>
        </w:rPr>
        <w:t xml:space="preserve">Job analysis using a combination of structured interviews with incumbents and supervisors, review of job descriptions, and competency card-sort exercises</w:t>
      </w:r>
    </w:p>
    <w:p>
      <w:pPr>
        <w:pStyle w:val="ListParagraph"/>
        <w:numPr>
          <w:ilvl w:val="0"/>
          <w:numId w:val="4"/>
        </w:numPr>
        <w:spacing w:after="80"/>
      </w:pPr>
      <w:r>
        <w:rPr>
          <w:rFonts w:ascii="Arial" w:cs="Arial" w:eastAsia="Arial" w:hAnsi="Arial"/>
          <w:color w:val="333333"/>
          <w:sz w:val="22"/>
          <w:szCs w:val="22"/>
        </w:rPr>
        <w:t xml:space="preserve">Competency selection and behavioral indicator definition (typically 6-8 competencies per assessment)</w:t>
      </w:r>
    </w:p>
    <w:p>
      <w:pPr>
        <w:pStyle w:val="ListParagraph"/>
        <w:numPr>
          <w:ilvl w:val="0"/>
          <w:numId w:val="4"/>
        </w:numPr>
        <w:spacing w:after="80"/>
      </w:pPr>
      <w:r>
        <w:rPr>
          <w:rFonts w:ascii="Arial" w:cs="Arial" w:eastAsia="Arial" w:hAnsi="Arial"/>
          <w:color w:val="333333"/>
          <w:sz w:val="22"/>
          <w:szCs w:val="22"/>
        </w:rPr>
        <w:t xml:space="preserve">Validation of selected competencies with client stakeholders</w:t>
      </w:r>
    </w:p>
    <w:p>
      <w:pPr>
        <w:pStyle w:val="ListParagraph"/>
        <w:numPr>
          <w:ilvl w:val="0"/>
          <w:numId w:val="4"/>
        </w:numPr>
        <w:spacing w:after="80"/>
      </w:pPr>
      <w:r>
        <w:rPr>
          <w:rFonts w:ascii="Arial" w:cs="Arial" w:eastAsia="Arial" w:hAnsi="Arial"/>
          <w:color w:val="333333"/>
          <w:sz w:val="22"/>
          <w:szCs w:val="22"/>
        </w:rPr>
        <w:t xml:space="preserve">Exercise-to-competency mapping (the Assessment Matrix) ensuring each competency is observed in at least two exercises</w:t>
      </w:r>
    </w:p>
    <w:p>
      <w:r>
        <w:br w:type="page"/>
      </w:r>
    </w:p>
    <w:p>
      <w:pPr>
        <w:pStyle w:val="Heading1"/>
      </w:pPr>
      <w:r>
        <w:t xml:space="preserve">4. Assessment Tools Portfolio</w:t>
      </w:r>
    </w:p>
    <w:p>
      <w:pPr>
        <w:pStyle w:val="Heading2"/>
      </w:pPr>
      <w:r>
        <w:t xml:space="preserve">4.1 Tool Strategy: Hybrid Model</w:t>
      </w:r>
    </w:p>
    <w:p>
      <w:pPr>
        <w:spacing w:after="160"/>
      </w:pPr>
      <w:r>
        <w:rPr>
          <w:rFonts w:ascii="Arial" w:cs="Arial" w:eastAsia="Arial" w:hAnsi="Arial"/>
          <w:color w:val="333333"/>
          <w:sz w:val="22"/>
          <w:szCs w:val="22"/>
        </w:rPr>
        <w:t xml:space="preserve">VIFM-AC will operate a hybrid assessment tool strategy combining licensed psychometric instruments from established publishers with proprietary simulation exercises developed in-house. This approach provides the scientific credibility and normative data of validated instruments while allowing VIFM to build IP in contextually relevant business simulations.</w:t>
      </w:r>
    </w:p>
    <w:p>
      <w:pPr>
        <w:pStyle w:val="Heading2"/>
      </w:pPr>
      <w:r>
        <w:t xml:space="preserve">4.2 Licensed Psychometric Instruments</w:t>
      </w:r>
    </w:p>
    <w:p>
      <w:pPr>
        <w:pStyle w:val="Heading3"/>
      </w:pPr>
      <w:r>
        <w:t xml:space="preserve">4.2.1 Cognitive Ability Testing</w:t>
      </w:r>
    </w:p>
    <w:p>
      <w:pPr>
        <w:spacing w:after="160"/>
      </w:pPr>
      <w:r>
        <w:rPr>
          <w:rFonts w:ascii="Arial" w:cs="Arial" w:eastAsia="Arial" w:hAnsi="Arial"/>
          <w:color w:val="333333"/>
          <w:sz w:val="22"/>
          <w:szCs w:val="22"/>
        </w:rPr>
        <w:t xml:space="preserve">VIFM-AC will license a validated cognitive ability test battery from one of the following providers. The recommended option is SHL's Verify Interactive suite due to its strong track record, adaptive scoring, and availability in Arabic: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Numerical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Interpreting data, tables, graphs; drawing numerical conclusions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drag-and-drop or multiple choice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 minutes</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Deductive Reasoning</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Drawing logical conclusions from incomplete information</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Statement-based logical evaluation</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18 minutes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Inductive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Identifying patterns and relationships in abstract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pattern sequences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 minutes</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General Ability (G+)</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Combined measure of all three cognitive dimensions above</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Blended: 10 items per dimension</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36 minutes</w:t>
            </w:r>
          </w:p>
        </w:tc>
      </w:tr>
    </w:tbl>
    <w:p>
      <w:pPr>
        <w:spacing w:after="80"/>
      </w:pPr>
    </w:p>
    <w:p>
      <w:pPr>
        <w:pStyle w:val="Heading3"/>
      </w:pPr>
      <w:r>
        <w:t xml:space="preserve">4.2.2 Personality and Behavioral Assessment</w:t>
      </w:r>
    </w:p>
    <w:p>
      <w:pPr>
        <w:spacing w:after="160"/>
      </w:pPr>
      <w:r>
        <w:rPr>
          <w:rFonts w:ascii="Arial" w:cs="Arial" w:eastAsia="Arial" w:hAnsi="Arial"/>
          <w:color w:val="333333"/>
          <w:sz w:val="22"/>
          <w:szCs w:val="22"/>
        </w:rPr>
        <w:t xml:space="preserve">VIFM-AC will license a personality instrument to assess behavioral tendencies and work styles. Recommended options include:</w:t>
      </w:r>
    </w:p>
    <w:p>
      <w:pPr>
        <w:pStyle w:val="ListParagraph"/>
        <w:numPr>
          <w:ilvl w:val="0"/>
          <w:numId w:val="2"/>
        </w:numPr>
        <w:spacing w:after="80"/>
      </w:pPr>
      <w:r>
        <w:rPr>
          <w:rFonts w:ascii="Arial" w:cs="Arial" w:eastAsia="Arial" w:hAnsi="Arial"/>
          <w:b/>
          <w:bCs/>
          <w:color w:val="1A3A6B"/>
          <w:sz w:val="22"/>
          <w:szCs w:val="22"/>
        </w:rPr>
        <w:t xml:space="preserve">SHL OPQ32 (Occupational Personality Questionnaire): </w:t>
      </w:r>
      <w:r>
        <w:rPr>
          <w:rFonts w:ascii="Arial" w:cs="Arial" w:eastAsia="Arial" w:hAnsi="Arial"/>
          <w:color w:val="333333"/>
          <w:sz w:val="22"/>
          <w:szCs w:val="22"/>
        </w:rPr>
        <w:t xml:space="preserve">Measures 32 personality scales across three domains: Relationships with People, Thinking Style, and Feelings &amp; Emotions. Uses forced-choice format with 104 items. Widely used globally with extensive normative data.</w:t>
      </w:r>
    </w:p>
    <w:p>
      <w:pPr>
        <w:pStyle w:val="ListParagraph"/>
        <w:numPr>
          <w:ilvl w:val="0"/>
          <w:numId w:val="2"/>
        </w:numPr>
        <w:spacing w:after="80"/>
      </w:pPr>
      <w:r>
        <w:rPr>
          <w:rFonts w:ascii="Arial" w:cs="Arial" w:eastAsia="Arial" w:hAnsi="Arial"/>
          <w:b/>
          <w:bCs/>
          <w:color w:val="1A3A6B"/>
          <w:sz w:val="22"/>
          <w:szCs w:val="22"/>
        </w:rPr>
        <w:t xml:space="preserve">Hogan Personality Inventory (HPI): </w:t>
      </w:r>
      <w:r>
        <w:rPr>
          <w:rFonts w:ascii="Arial" w:cs="Arial" w:eastAsia="Arial" w:hAnsi="Arial"/>
          <w:color w:val="333333"/>
          <w:sz w:val="22"/>
          <w:szCs w:val="22"/>
        </w:rPr>
        <w:t xml:space="preserve">Measures seven primary scales based on the Five-Factor Model. Strong predictive validity for occupational performance. Includes the Hogan Development Survey (HDS) for identifying derailment risks under stress.</w:t>
      </w:r>
    </w:p>
    <w:p>
      <w:pPr>
        <w:pStyle w:val="ListParagraph"/>
        <w:numPr>
          <w:ilvl w:val="0"/>
          <w:numId w:val="2"/>
        </w:numPr>
        <w:spacing w:after="80"/>
      </w:pPr>
      <w:r>
        <w:rPr>
          <w:rFonts w:ascii="Arial" w:cs="Arial" w:eastAsia="Arial" w:hAnsi="Arial"/>
          <w:b/>
          <w:bCs/>
          <w:color w:val="1A3A6B"/>
          <w:sz w:val="22"/>
          <w:szCs w:val="22"/>
        </w:rPr>
        <w:t xml:space="preserve">Korn Ferry Four Dimensions (KF4D): </w:t>
      </w:r>
      <w:r>
        <w:rPr>
          <w:rFonts w:ascii="Arial" w:cs="Arial" w:eastAsia="Arial" w:hAnsi="Arial"/>
          <w:color w:val="333333"/>
          <w:sz w:val="22"/>
          <w:szCs w:val="22"/>
        </w:rPr>
        <w:t xml:space="preserve">Measures competencies, traits, and drivers. Uses forced-choice triads. Provides a fit-for-role analysis against Success Profiles.</w:t>
      </w:r>
    </w:p>
    <w:p>
      <w:pPr>
        <w:pStyle w:val="Heading3"/>
      </w:pPr>
      <w:r>
        <w:t xml:space="preserve">4.2.3 Situational Judgment Tests (SJTs)</w:t>
      </w:r>
    </w:p>
    <w:p>
      <w:pPr>
        <w:spacing w:after="160"/>
      </w:pPr>
      <w:r>
        <w:rPr>
          <w:rFonts w:ascii="Arial" w:cs="Arial" w:eastAsia="Arial" w:hAnsi="Arial"/>
          <w:color w:val="333333"/>
          <w:sz w:val="22"/>
          <w:szCs w:val="22"/>
        </w:rPr>
        <w:t xml:space="preserve">SJTs present candidates with realistic work scenarios and ask them to evaluate or rank possible responses. VIFM-AC will develop custom SJTs for GCC contexts while potentially licensing generic SJT content from SHL for volume screening. Custom SJTs will cover scenarios commonly encountered in GCC government entities, banking, and corporate settings, ensuring cultural relevance and face validity.</w:t>
      </w:r>
    </w:p>
    <w:p>
      <w:pPr>
        <w:pStyle w:val="Heading2"/>
      </w:pPr>
      <w:r>
        <w:t xml:space="preserve">4.3 Proprietary VIFM Tools (In-House Development)</w:t>
      </w:r>
    </w:p>
    <w:p>
      <w:pPr>
        <w:spacing w:after="160"/>
      </w:pPr>
      <w:r>
        <w:rPr>
          <w:rFonts w:ascii="Arial" w:cs="Arial" w:eastAsia="Arial" w:hAnsi="Arial"/>
          <w:color w:val="333333"/>
          <w:sz w:val="22"/>
          <w:szCs w:val="22"/>
        </w:rPr>
        <w:t xml:space="preserve">VIFM will develop its own simulation exercises and business case studies that incorporate GCC-specific contexts. These will be the primary differentiators and highest-margin components of the assessment center offering.</w:t>
      </w:r>
    </w:p>
    <w:p>
      <w:pPr>
        <w:pStyle w:val="ListParagraph"/>
        <w:numPr>
          <w:ilvl w:val="0"/>
          <w:numId w:val="2"/>
        </w:numPr>
        <w:spacing w:after="80"/>
      </w:pPr>
      <w:r>
        <w:rPr>
          <w:rFonts w:ascii="Arial" w:cs="Arial" w:eastAsia="Arial" w:hAnsi="Arial"/>
          <w:b/>
          <w:bCs/>
          <w:color w:val="1A3A6B"/>
          <w:sz w:val="22"/>
          <w:szCs w:val="22"/>
        </w:rPr>
        <w:t xml:space="preserve">Business Simulations: </w:t>
      </w:r>
      <w:r>
        <w:rPr>
          <w:rFonts w:ascii="Arial" w:cs="Arial" w:eastAsia="Arial" w:hAnsi="Arial"/>
          <w:color w:val="333333"/>
          <w:sz w:val="22"/>
          <w:szCs w:val="22"/>
        </w:rPr>
        <w:t xml:space="preserve">Industry-specific simulations for banking (credit risk scenario, regulatory compliance), government (policy implementation, stakeholder management), and corporate (market entry, cost optimization).</w:t>
      </w:r>
    </w:p>
    <w:p>
      <w:pPr>
        <w:pStyle w:val="ListParagraph"/>
        <w:numPr>
          <w:ilvl w:val="0"/>
          <w:numId w:val="2"/>
        </w:numPr>
        <w:spacing w:after="80"/>
      </w:pPr>
      <w:r>
        <w:rPr>
          <w:rFonts w:ascii="Arial" w:cs="Arial" w:eastAsia="Arial" w:hAnsi="Arial"/>
          <w:b/>
          <w:bCs/>
          <w:color w:val="1A3A6B"/>
          <w:sz w:val="22"/>
          <w:szCs w:val="22"/>
        </w:rPr>
        <w:t xml:space="preserve">In-Basket/E-Tray Exercises: </w:t>
      </w:r>
      <w:r>
        <w:rPr>
          <w:rFonts w:ascii="Arial" w:cs="Arial" w:eastAsia="Arial" w:hAnsi="Arial"/>
          <w:color w:val="333333"/>
          <w:sz w:val="22"/>
          <w:szCs w:val="22"/>
        </w:rPr>
        <w:t xml:space="preserve">Digital inbox simulations requiring candidates to prioritize, delegate, and respond to emails, memos, and reports within a time-limited window. Contextualized for different roles and levels.</w:t>
      </w:r>
    </w:p>
    <w:p>
      <w:pPr>
        <w:pStyle w:val="ListParagraph"/>
        <w:numPr>
          <w:ilvl w:val="0"/>
          <w:numId w:val="2"/>
        </w:numPr>
        <w:spacing w:after="80"/>
      </w:pPr>
      <w:r>
        <w:rPr>
          <w:rFonts w:ascii="Arial" w:cs="Arial" w:eastAsia="Arial" w:hAnsi="Arial"/>
          <w:b/>
          <w:bCs/>
          <w:color w:val="1A3A6B"/>
          <w:sz w:val="22"/>
          <w:szCs w:val="22"/>
        </w:rPr>
        <w:t xml:space="preserve">Case Study Analyses: </w:t>
      </w:r>
      <w:r>
        <w:rPr>
          <w:rFonts w:ascii="Arial" w:cs="Arial" w:eastAsia="Arial" w:hAnsi="Arial"/>
          <w:color w:val="333333"/>
          <w:sz w:val="22"/>
          <w:szCs w:val="22"/>
        </w:rPr>
        <w:t xml:space="preserve">Written analyses of complex business problems requiring strategic thinking, data interpretation, and recommendation formulation.</w:t>
      </w:r>
    </w:p>
    <w:p>
      <w:pPr>
        <w:pStyle w:val="ListParagraph"/>
        <w:numPr>
          <w:ilvl w:val="0"/>
          <w:numId w:val="2"/>
        </w:numPr>
        <w:spacing w:after="80"/>
      </w:pPr>
      <w:r>
        <w:rPr>
          <w:rFonts w:ascii="Arial" w:cs="Arial" w:eastAsia="Arial" w:hAnsi="Arial"/>
          <w:b/>
          <w:bCs/>
          <w:color w:val="1A3A6B"/>
          <w:sz w:val="22"/>
          <w:szCs w:val="22"/>
        </w:rPr>
        <w:t xml:space="preserve">Role Play Scenarios: </w:t>
      </w:r>
      <w:r>
        <w:rPr>
          <w:rFonts w:ascii="Arial" w:cs="Arial" w:eastAsia="Arial" w:hAnsi="Arial"/>
          <w:color w:val="333333"/>
          <w:sz w:val="22"/>
          <w:szCs w:val="22"/>
        </w:rPr>
        <w:t xml:space="preserve">Structured one-on-one simulations with trained role players, covering performance discussions, client negotiations, conflict resolution, and stakeholder management.</w:t>
      </w:r>
    </w:p>
    <w:p>
      <w:pPr>
        <w:pStyle w:val="ListParagraph"/>
        <w:numPr>
          <w:ilvl w:val="0"/>
          <w:numId w:val="2"/>
        </w:numPr>
        <w:spacing w:after="80"/>
      </w:pPr>
      <w:r>
        <w:rPr>
          <w:rFonts w:ascii="Arial" w:cs="Arial" w:eastAsia="Arial" w:hAnsi="Arial"/>
          <w:b/>
          <w:bCs/>
          <w:color w:val="1A3A6B"/>
          <w:sz w:val="22"/>
          <w:szCs w:val="22"/>
        </w:rPr>
        <w:t xml:space="preserve">Group Exercises: </w:t>
      </w:r>
      <w:r>
        <w:rPr>
          <w:rFonts w:ascii="Arial" w:cs="Arial" w:eastAsia="Arial" w:hAnsi="Arial"/>
          <w:color w:val="333333"/>
          <w:sz w:val="22"/>
          <w:szCs w:val="22"/>
        </w:rPr>
        <w:t xml:space="preserve">Leaderless group discussions (LGDs) and collaborative problem-solving tasks that assess interpersonal dynamics, influence, and teamwork.</w:t>
      </w:r>
    </w:p>
    <w:p>
      <w:r>
        <w:br w:type="page"/>
      </w:r>
    </w:p>
    <w:p>
      <w:pPr>
        <w:pStyle w:val="Heading1"/>
      </w:pPr>
      <w:r>
        <w:t xml:space="preserve">5. Exercise Library Design</w:t>
      </w:r>
    </w:p>
    <w:p>
      <w:pPr>
        <w:pStyle w:val="Heading2"/>
      </w:pPr>
      <w:r>
        <w:t xml:space="preserve">5.1 Exercise-to-Competency Matrix</w:t>
      </w:r>
    </w:p>
    <w:p>
      <w:pPr>
        <w:spacing w:after="160"/>
      </w:pPr>
      <w:r>
        <w:rPr>
          <w:rFonts w:ascii="Arial" w:cs="Arial" w:eastAsia="Arial" w:hAnsi="Arial"/>
          <w:color w:val="333333"/>
          <w:sz w:val="22"/>
          <w:szCs w:val="22"/>
        </w:rPr>
        <w:t xml:space="preserve">The International Taskforce Guidelines require that each competency be measured across at least two different exercises. The following matrix illustrates a standard full-day assessment center design measuring 8 competencies across 6 exercises: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240"/>
        <w:gridCol w:w="1240"/>
        <w:gridCol w:w="1240"/>
        <w:gridCol w:w="1240"/>
        <w:gridCol w:w="1260"/>
      </w:tblGrid>
      <w:tr>
        <w:tc>
          <w:tcPr>
            <w:tcW w:type="dxa" w:w="1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Competency</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In-Basket</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Play</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Ex</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Case Study</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Presentation</w:t>
            </w:r>
          </w:p>
        </w:tc>
        <w:tc>
          <w:tcPr>
            <w:tcW w:type="dxa" w:w="12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Interview</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Strategic Thinking</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Decision Quality</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Drives Results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Communicates Effectively</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Builds Teams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Develops Talent</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Manages Conflict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Self-Awareness</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80"/>
      </w:pPr>
    </w:p>
    <w:p>
      <w:pPr>
        <w:pStyle w:val="Heading2"/>
      </w:pPr>
      <w:r>
        <w:t xml:space="preserve">5.2 Exercise Specifications</w:t>
      </w:r>
    </w:p>
    <w:p>
      <w:pPr>
        <w:pStyle w:val="Heading3"/>
      </w:pPr>
      <w:r>
        <w:t xml:space="preserve">5.2.1 In-Basket / E-Tray Exercise</w:t>
      </w:r>
    </w:p>
    <w:p>
      <w:pPr>
        <w:spacing w:after="160"/>
      </w:pPr>
      <w:r>
        <w:rPr>
          <w:rFonts w:ascii="Arial" w:cs="Arial" w:eastAsia="Arial" w:hAnsi="Arial"/>
          <w:b/>
          <w:bCs/>
          <w:color w:val="1A3A6B"/>
          <w:sz w:val="22"/>
          <w:szCs w:val="22"/>
        </w:rPr>
        <w:t xml:space="preserve">Purpose: </w:t>
      </w:r>
      <w:r>
        <w:rPr>
          <w:rFonts w:ascii="Arial" w:cs="Arial" w:eastAsia="Arial" w:hAnsi="Arial"/>
          <w:color w:val="333333"/>
          <w:sz w:val="22"/>
          <w:szCs w:val="22"/>
        </w:rPr>
        <w:t xml:space="preserve">Assess planning, prioritization, delegation, written communication, and decision-making under time pressure.</w:t>
      </w:r>
    </w:p>
    <w:p>
      <w:pPr>
        <w:spacing w:after="160"/>
      </w:pPr>
      <w:r>
        <w:rPr>
          <w:rFonts w:ascii="Arial" w:cs="Arial" w:eastAsia="Arial" w:hAnsi="Arial"/>
          <w:b/>
          <w:bCs/>
          <w:color w:val="1A3A6B"/>
          <w:sz w:val="22"/>
          <w:szCs w:val="22"/>
        </w:rPr>
        <w:t xml:space="preserve">Format: </w:t>
      </w:r>
      <w:r>
        <w:rPr>
          <w:rFonts w:ascii="Arial" w:cs="Arial" w:eastAsia="Arial" w:hAnsi="Arial"/>
          <w:color w:val="333333"/>
          <w:sz w:val="22"/>
          <w:szCs w:val="22"/>
        </w:rPr>
        <w:t xml:space="preserve">Candidates receive 15-25 items (emails, memos, reports, meeting requests) and must triage, respond, delegate, and escalate within 60-90 minutes.</w:t>
      </w:r>
    </w:p>
    <w:p>
      <w:pPr>
        <w:spacing w:after="160"/>
      </w:pPr>
      <w:r>
        <w:rPr>
          <w:rFonts w:ascii="Arial" w:cs="Arial" w:eastAsia="Arial" w:hAnsi="Arial"/>
          <w:b/>
          <w:bCs/>
          <w:color w:val="1A3A6B"/>
          <w:sz w:val="22"/>
          <w:szCs w:val="22"/>
        </w:rPr>
        <w:t xml:space="preserve">Levels: </w:t>
      </w:r>
      <w:r>
        <w:rPr>
          <w:rFonts w:ascii="Arial" w:cs="Arial" w:eastAsia="Arial" w:hAnsi="Arial"/>
          <w:color w:val="333333"/>
          <w:sz w:val="22"/>
          <w:szCs w:val="22"/>
        </w:rPr>
        <w:t xml:space="preserve">Junior version uses operational decisions; senior version incorporates strategic trade-offs and stakeholder management.</w:t>
      </w:r>
    </w:p>
    <w:p>
      <w:pPr>
        <w:spacing w:after="160"/>
      </w:pPr>
      <w:r>
        <w:rPr>
          <w:rFonts w:ascii="Arial" w:cs="Arial" w:eastAsia="Arial" w:hAnsi="Arial"/>
          <w:b/>
          <w:bCs/>
          <w:color w:val="1A3A6B"/>
          <w:sz w:val="22"/>
          <w:szCs w:val="22"/>
        </w:rPr>
        <w:t xml:space="preserve">Scoring: </w:t>
      </w:r>
      <w:r>
        <w:rPr>
          <w:rFonts w:ascii="Arial" w:cs="Arial" w:eastAsia="Arial" w:hAnsi="Arial"/>
          <w:color w:val="333333"/>
          <w:sz w:val="22"/>
          <w:szCs w:val="22"/>
        </w:rPr>
        <w:t xml:space="preserve">Each action is rated on quality (decision rationale), efficiency (prioritization logic), and communication (tone and clarity of written responses).</w:t>
      </w:r>
    </w:p>
    <w:p>
      <w:pPr>
        <w:pStyle w:val="Heading3"/>
      </w:pPr>
      <w:r>
        <w:t xml:space="preserve">5.2.2 Role Play / Interview Simulation</w:t>
      </w:r>
    </w:p>
    <w:p>
      <w:pPr>
        <w:spacing w:after="160"/>
      </w:pPr>
      <w:r>
        <w:rPr>
          <w:rFonts w:ascii="Arial" w:cs="Arial" w:eastAsia="Arial" w:hAnsi="Arial"/>
          <w:b/>
          <w:bCs/>
          <w:color w:val="1A3A6B"/>
          <w:sz w:val="22"/>
          <w:szCs w:val="22"/>
        </w:rPr>
        <w:t xml:space="preserve">Purpose: </w:t>
      </w:r>
      <w:r>
        <w:rPr>
          <w:rFonts w:ascii="Arial" w:cs="Arial" w:eastAsia="Arial" w:hAnsi="Arial"/>
          <w:color w:val="333333"/>
          <w:sz w:val="22"/>
          <w:szCs w:val="22"/>
        </w:rPr>
        <w:t xml:space="preserve">Assess interpersonal skills, influencing, conflict management, coaching, and situational adaptability in a one-on-one interaction.</w:t>
      </w:r>
    </w:p>
    <w:p>
      <w:pPr>
        <w:spacing w:after="160"/>
      </w:pPr>
      <w:r>
        <w:rPr>
          <w:rFonts w:ascii="Arial" w:cs="Arial" w:eastAsia="Arial" w:hAnsi="Arial"/>
          <w:b/>
          <w:bCs/>
          <w:color w:val="1A3A6B"/>
          <w:sz w:val="22"/>
          <w:szCs w:val="22"/>
        </w:rPr>
        <w:t xml:space="preserve">Format: </w:t>
      </w:r>
      <w:r>
        <w:rPr>
          <w:rFonts w:ascii="Arial" w:cs="Arial" w:eastAsia="Arial" w:hAnsi="Arial"/>
          <w:color w:val="333333"/>
          <w:sz w:val="22"/>
          <w:szCs w:val="22"/>
        </w:rPr>
        <w:t xml:space="preserve">Candidate is briefed on a scenario (10 minutes preparation) and then conducts a 20-minute meeting with a trained role player. Assessors observe via video or one-way mirror.</w:t>
      </w:r>
    </w:p>
    <w:p>
      <w:pPr>
        <w:spacing w:after="160"/>
      </w:pPr>
      <w:r>
        <w:rPr>
          <w:rFonts w:ascii="Arial" w:cs="Arial" w:eastAsia="Arial" w:hAnsi="Arial"/>
          <w:b/>
          <w:bCs/>
          <w:color w:val="1A3A6B"/>
          <w:sz w:val="22"/>
          <w:szCs w:val="22"/>
        </w:rPr>
        <w:t xml:space="preserve">Typical Scenarios: </w:t>
      </w:r>
      <w:r>
        <w:rPr>
          <w:rFonts w:ascii="Arial" w:cs="Arial" w:eastAsia="Arial" w:hAnsi="Arial"/>
          <w:color w:val="333333"/>
          <w:sz w:val="22"/>
          <w:szCs w:val="22"/>
        </w:rPr>
        <w:t xml:space="preserve">Performance coaching conversation, client complaint resolution, negotiation with a stakeholder, managing an underperforming team member.</w:t>
      </w:r>
    </w:p>
    <w:p>
      <w:pPr>
        <w:spacing w:after="160"/>
      </w:pPr>
      <w:r>
        <w:rPr>
          <w:rFonts w:ascii="Arial" w:cs="Arial" w:eastAsia="Arial" w:hAnsi="Arial"/>
          <w:b/>
          <w:bCs/>
          <w:color w:val="1A3A6B"/>
          <w:sz w:val="22"/>
          <w:szCs w:val="22"/>
        </w:rPr>
        <w:t xml:space="preserve">Role Player Protocol: </w:t>
      </w:r>
      <w:r>
        <w:rPr>
          <w:rFonts w:ascii="Arial" w:cs="Arial" w:eastAsia="Arial" w:hAnsi="Arial"/>
          <w:color w:val="333333"/>
          <w:sz w:val="22"/>
          <w:szCs w:val="22"/>
        </w:rPr>
        <w:t xml:space="preserve">Trained role players follow a standardized prompt sheet with predetermined trigger behaviors, ensuring consistency across candidates.</w:t>
      </w:r>
    </w:p>
    <w:p>
      <w:pPr>
        <w:pStyle w:val="Heading3"/>
      </w:pPr>
      <w:r>
        <w:t xml:space="preserve">5.2.3 Group Exercise / Leaderless Group Discussion</w:t>
      </w:r>
    </w:p>
    <w:p>
      <w:pPr>
        <w:spacing w:after="160"/>
      </w:pPr>
      <w:r>
        <w:rPr>
          <w:rFonts w:ascii="Arial" w:cs="Arial" w:eastAsia="Arial" w:hAnsi="Arial"/>
          <w:b/>
          <w:bCs/>
          <w:color w:val="1A3A6B"/>
          <w:sz w:val="22"/>
          <w:szCs w:val="22"/>
        </w:rPr>
        <w:t xml:space="preserve">Purpose: </w:t>
      </w:r>
      <w:r>
        <w:rPr>
          <w:rFonts w:ascii="Arial" w:cs="Arial" w:eastAsia="Arial" w:hAnsi="Arial"/>
          <w:color w:val="333333"/>
          <w:sz w:val="22"/>
          <w:szCs w:val="22"/>
        </w:rPr>
        <w:t xml:space="preserve">Assess teamwork, influence, communication, leadership emergence, and consensus-building in a group setting.</w:t>
      </w:r>
    </w:p>
    <w:p>
      <w:pPr>
        <w:spacing w:after="160"/>
      </w:pPr>
      <w:r>
        <w:rPr>
          <w:rFonts w:ascii="Arial" w:cs="Arial" w:eastAsia="Arial" w:hAnsi="Arial"/>
          <w:b/>
          <w:bCs/>
          <w:color w:val="1A3A6B"/>
          <w:sz w:val="22"/>
          <w:szCs w:val="22"/>
        </w:rPr>
        <w:t xml:space="preserve">Format: </w:t>
      </w:r>
      <w:r>
        <w:rPr>
          <w:rFonts w:ascii="Arial" w:cs="Arial" w:eastAsia="Arial" w:hAnsi="Arial"/>
          <w:color w:val="333333"/>
          <w:sz w:val="22"/>
          <w:szCs w:val="22"/>
        </w:rPr>
        <w:t xml:space="preserve">Groups of 4-6 candidates discuss a business problem and reach a recommendation within 30-45 minutes. No leader is assigned.</w:t>
      </w:r>
    </w:p>
    <w:p>
      <w:pPr>
        <w:spacing w:after="160"/>
      </w:pPr>
      <w:r>
        <w:rPr>
          <w:rFonts w:ascii="Arial" w:cs="Arial" w:eastAsia="Arial" w:hAnsi="Arial"/>
          <w:b/>
          <w:bCs/>
          <w:color w:val="1A3A6B"/>
          <w:sz w:val="22"/>
          <w:szCs w:val="22"/>
        </w:rPr>
        <w:t xml:space="preserve">Variants: </w:t>
      </w:r>
      <w:r>
        <w:rPr>
          <w:rFonts w:ascii="Arial" w:cs="Arial" w:eastAsia="Arial" w:hAnsi="Arial"/>
          <w:color w:val="333333"/>
          <w:sz w:val="22"/>
          <w:szCs w:val="22"/>
        </w:rPr>
        <w:t xml:space="preserve">Assigned-role (each candidate represents a department with competing interests) or unassigned-role (open discussion on a shared challenge).</w:t>
      </w:r>
    </w:p>
    <w:p>
      <w:pPr>
        <w:spacing w:after="160"/>
      </w:pPr>
      <w:r>
        <w:rPr>
          <w:rFonts w:ascii="Arial" w:cs="Arial" w:eastAsia="Arial" w:hAnsi="Arial"/>
          <w:b/>
          <w:bCs/>
          <w:color w:val="1A3A6B"/>
          <w:sz w:val="22"/>
          <w:szCs w:val="22"/>
        </w:rPr>
        <w:t xml:space="preserve">Assessor Ratio: </w:t>
      </w:r>
      <w:r>
        <w:rPr>
          <w:rFonts w:ascii="Arial" w:cs="Arial" w:eastAsia="Arial" w:hAnsi="Arial"/>
          <w:color w:val="333333"/>
          <w:sz w:val="22"/>
          <w:szCs w:val="22"/>
        </w:rPr>
        <w:t xml:space="preserve">One assessor per two candidates, observing from outside the group.</w:t>
      </w:r>
    </w:p>
    <w:p>
      <w:pPr>
        <w:pStyle w:val="Heading3"/>
      </w:pPr>
      <w:r>
        <w:t xml:space="preserve">5.2.4 Case Study / Analytical Exercise</w:t>
      </w:r>
    </w:p>
    <w:p>
      <w:pPr>
        <w:spacing w:after="160"/>
      </w:pPr>
      <w:r>
        <w:rPr>
          <w:rFonts w:ascii="Arial" w:cs="Arial" w:eastAsia="Arial" w:hAnsi="Arial"/>
          <w:b/>
          <w:bCs/>
          <w:color w:val="1A3A6B"/>
          <w:sz w:val="22"/>
          <w:szCs w:val="22"/>
        </w:rPr>
        <w:t xml:space="preserve">Purpose: </w:t>
      </w:r>
      <w:r>
        <w:rPr>
          <w:rFonts w:ascii="Arial" w:cs="Arial" w:eastAsia="Arial" w:hAnsi="Arial"/>
          <w:color w:val="333333"/>
          <w:sz w:val="22"/>
          <w:szCs w:val="22"/>
        </w:rPr>
        <w:t xml:space="preserve">Assess strategic thinking, analytical reasoning, business acumen, and written communication.</w:t>
      </w:r>
    </w:p>
    <w:p>
      <w:pPr>
        <w:spacing w:after="160"/>
      </w:pPr>
      <w:r>
        <w:rPr>
          <w:rFonts w:ascii="Arial" w:cs="Arial" w:eastAsia="Arial" w:hAnsi="Arial"/>
          <w:b/>
          <w:bCs/>
          <w:color w:val="1A3A6B"/>
          <w:sz w:val="22"/>
          <w:szCs w:val="22"/>
        </w:rPr>
        <w:t xml:space="preserve">Format: </w:t>
      </w:r>
      <w:r>
        <w:rPr>
          <w:rFonts w:ascii="Arial" w:cs="Arial" w:eastAsia="Arial" w:hAnsi="Arial"/>
          <w:color w:val="333333"/>
          <w:sz w:val="22"/>
          <w:szCs w:val="22"/>
        </w:rPr>
        <w:t xml:space="preserve">Candidates receive a data pack (10-20 pages of financial data, market research, organizational charts, memos) and must produce a written analysis with recommendations within 60-90 minutes.</w:t>
      </w:r>
    </w:p>
    <w:p>
      <w:pPr>
        <w:spacing w:after="160"/>
      </w:pPr>
      <w:r>
        <w:rPr>
          <w:rFonts w:ascii="Arial" w:cs="Arial" w:eastAsia="Arial" w:hAnsi="Arial"/>
          <w:b/>
          <w:bCs/>
          <w:color w:val="1A3A6B"/>
          <w:sz w:val="22"/>
          <w:szCs w:val="22"/>
        </w:rPr>
        <w:t xml:space="preserve">Industry Contexts: </w:t>
      </w:r>
      <w:r>
        <w:rPr>
          <w:rFonts w:ascii="Arial" w:cs="Arial" w:eastAsia="Arial" w:hAnsi="Arial"/>
          <w:color w:val="333333"/>
          <w:sz w:val="22"/>
          <w:szCs w:val="22"/>
        </w:rPr>
        <w:t xml:space="preserve">Banking (credit approval, portfolio risk), government (policy evaluation, budget allocation), corporate (market entry, restructuring).</w:t>
      </w:r>
    </w:p>
    <w:p>
      <w:pPr>
        <w:pStyle w:val="Heading3"/>
      </w:pPr>
      <w:r>
        <w:t xml:space="preserve">5.2.5 Oral Presentation Exercise</w:t>
      </w:r>
    </w:p>
    <w:p>
      <w:pPr>
        <w:spacing w:after="160"/>
      </w:pPr>
      <w:r>
        <w:rPr>
          <w:rFonts w:ascii="Arial" w:cs="Arial" w:eastAsia="Arial" w:hAnsi="Arial"/>
          <w:b/>
          <w:bCs/>
          <w:color w:val="1A3A6B"/>
          <w:sz w:val="22"/>
          <w:szCs w:val="22"/>
        </w:rPr>
        <w:t xml:space="preserve">Purpose: </w:t>
      </w:r>
      <w:r>
        <w:rPr>
          <w:rFonts w:ascii="Arial" w:cs="Arial" w:eastAsia="Arial" w:hAnsi="Arial"/>
          <w:color w:val="333333"/>
          <w:sz w:val="22"/>
          <w:szCs w:val="22"/>
        </w:rPr>
        <w:t xml:space="preserve">Assess communication skills, presence, persuasion, ability to structure complex arguments, and handle Q&amp;A.</w:t>
      </w:r>
    </w:p>
    <w:p>
      <w:pPr>
        <w:spacing w:after="160"/>
      </w:pPr>
      <w:r>
        <w:rPr>
          <w:rFonts w:ascii="Arial" w:cs="Arial" w:eastAsia="Arial" w:hAnsi="Arial"/>
          <w:b/>
          <w:bCs/>
          <w:color w:val="1A3A6B"/>
          <w:sz w:val="22"/>
          <w:szCs w:val="22"/>
        </w:rPr>
        <w:t xml:space="preserve">Format: </w:t>
      </w:r>
      <w:r>
        <w:rPr>
          <w:rFonts w:ascii="Arial" w:cs="Arial" w:eastAsia="Arial" w:hAnsi="Arial"/>
          <w:color w:val="333333"/>
          <w:sz w:val="22"/>
          <w:szCs w:val="22"/>
        </w:rPr>
        <w:t xml:space="preserve">Candidates prepare a 10-15 minute presentation on an assigned topic or the output of their case study, followed by 10 minutes of panel questions.</w:t>
      </w:r>
    </w:p>
    <w:p>
      <w:pPr>
        <w:spacing w:after="160"/>
      </w:pPr>
      <w:r>
        <w:rPr>
          <w:rFonts w:ascii="Arial" w:cs="Arial" w:eastAsia="Arial" w:hAnsi="Arial"/>
          <w:b/>
          <w:bCs/>
          <w:color w:val="1A3A6B"/>
          <w:sz w:val="22"/>
          <w:szCs w:val="22"/>
        </w:rPr>
        <w:t xml:space="preserve">Variants: </w:t>
      </w:r>
      <w:r>
        <w:rPr>
          <w:rFonts w:ascii="Arial" w:cs="Arial" w:eastAsia="Arial" w:hAnsi="Arial"/>
          <w:color w:val="333333"/>
          <w:sz w:val="22"/>
          <w:szCs w:val="22"/>
        </w:rPr>
        <w:t xml:space="preserve">Board briefing (strategic), team briefing (operational), client pitch (commercial).</w:t>
      </w:r>
    </w:p>
    <w:p>
      <w:pPr>
        <w:pStyle w:val="Heading3"/>
      </w:pPr>
      <w:r>
        <w:t xml:space="preserve">5.2.6 Competency-Based Interview (CBI)</w:t>
      </w:r>
    </w:p>
    <w:p>
      <w:pPr>
        <w:spacing w:after="160"/>
      </w:pPr>
      <w:r>
        <w:rPr>
          <w:rFonts w:ascii="Arial" w:cs="Arial" w:eastAsia="Arial" w:hAnsi="Arial"/>
          <w:b/>
          <w:bCs/>
          <w:color w:val="1A3A6B"/>
          <w:sz w:val="22"/>
          <w:szCs w:val="22"/>
        </w:rPr>
        <w:t xml:space="preserve">Purpose: </w:t>
      </w:r>
      <w:r>
        <w:rPr>
          <w:rFonts w:ascii="Arial" w:cs="Arial" w:eastAsia="Arial" w:hAnsi="Arial"/>
          <w:color w:val="333333"/>
          <w:sz w:val="22"/>
          <w:szCs w:val="22"/>
        </w:rPr>
        <w:t xml:space="preserve">Assess past behavior as a predictor of future performance, covering competencies not fully observable in simulation exercises.</w:t>
      </w:r>
    </w:p>
    <w:p>
      <w:pPr>
        <w:spacing w:after="160"/>
      </w:pPr>
      <w:r>
        <w:rPr>
          <w:rFonts w:ascii="Arial" w:cs="Arial" w:eastAsia="Arial" w:hAnsi="Arial"/>
          <w:b/>
          <w:bCs/>
          <w:color w:val="1A3A6B"/>
          <w:sz w:val="22"/>
          <w:szCs w:val="22"/>
        </w:rPr>
        <w:t xml:space="preserve">Format: </w:t>
      </w:r>
      <w:r>
        <w:rPr>
          <w:rFonts w:ascii="Arial" w:cs="Arial" w:eastAsia="Arial" w:hAnsi="Arial"/>
          <w:color w:val="333333"/>
          <w:sz w:val="22"/>
          <w:szCs w:val="22"/>
        </w:rPr>
        <w:t xml:space="preserve">Structured interview using the STAR technique (Situation, Task, Action, Result). Each competency is probed with 2-3 behavioral questions.</w:t>
      </w:r>
    </w:p>
    <w:p>
      <w:pPr>
        <w:spacing w:after="160"/>
      </w:pPr>
      <w:r>
        <w:rPr>
          <w:rFonts w:ascii="Arial" w:cs="Arial" w:eastAsia="Arial" w:hAnsi="Arial"/>
          <w:b/>
          <w:bCs/>
          <w:color w:val="1A3A6B"/>
          <w:sz w:val="22"/>
          <w:szCs w:val="22"/>
        </w:rPr>
        <w:t xml:space="preserve">Duration: </w:t>
      </w:r>
      <w:r>
        <w:rPr>
          <w:rFonts w:ascii="Arial" w:cs="Arial" w:eastAsia="Arial" w:hAnsi="Arial"/>
          <w:color w:val="333333"/>
          <w:sz w:val="22"/>
          <w:szCs w:val="22"/>
        </w:rPr>
        <w:t xml:space="preserve">45-60 minutes per candidate, conducted by two assessors.</w:t>
      </w:r>
    </w:p>
    <w:p>
      <w:r>
        <w:br w:type="page"/>
      </w:r>
    </w:p>
    <w:p>
      <w:pPr>
        <w:pStyle w:val="Heading1"/>
      </w:pPr>
      <w:r>
        <w:t xml:space="preserve">6. Assessor Model</w:t>
      </w:r>
    </w:p>
    <w:p>
      <w:pPr>
        <w:pStyle w:val="Heading2"/>
      </w:pPr>
      <w:r>
        <w:t xml:space="preserve">6.1 Assessor Selection Criteria</w:t>
      </w:r>
    </w:p>
    <w:p>
      <w:pPr>
        <w:spacing w:after="160"/>
      </w:pPr>
      <w:r>
        <w:rPr>
          <w:rFonts w:ascii="Arial" w:cs="Arial" w:eastAsia="Arial" w:hAnsi="Arial"/>
          <w:color w:val="333333"/>
          <w:sz w:val="22"/>
          <w:szCs w:val="22"/>
        </w:rPr>
        <w:t xml:space="preserve">Assessors are the backbone of any credible assessment center. The International Taskforce Guidelines specify that assessors must be thoroughly trained and must demonstrate competence in observation, classification, and evaluation of behavior. VIFM-AC will maintain two tiers of assessors: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Lead Assessor</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Associate Assessor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Qualifications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I/O Psychology, HR, or related advanced degree; BPS Level A+B or equivalent certification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Bachelor's degree minimum; completion of VIFM Assessor Certification Program</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Experience</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5+ years in assessment/talent management; 50+ assessment center days</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2+ years in HR/assessment; 10+ assessment center days as observer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Training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40-hour VIFM Lead Assessor Program + annual calibration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24-hour VIFM Associate Assessor Program + supervised practice</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Designs assessments, leads integration, writes final reports, delivers feedback</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Observes and records behavior, provides preliminary ratings, supports integration</w:t>
            </w:r>
          </w:p>
        </w:tc>
      </w:tr>
    </w:tbl>
    <w:p>
      <w:pPr>
        <w:spacing w:after="80"/>
      </w:pPr>
    </w:p>
    <w:p>
      <w:pPr>
        <w:pStyle w:val="Heading2"/>
      </w:pPr>
      <w:r>
        <w:t xml:space="preserve">6.2 Assessor Training Program</w:t>
      </w:r>
    </w:p>
    <w:p>
      <w:pPr>
        <w:spacing w:after="160"/>
      </w:pPr>
      <w:r>
        <w:rPr>
          <w:rFonts w:ascii="Arial" w:cs="Arial" w:eastAsia="Arial" w:hAnsi="Arial"/>
          <w:color w:val="333333"/>
          <w:sz w:val="22"/>
          <w:szCs w:val="22"/>
        </w:rPr>
        <w:t xml:space="preserve">The VIFM Assessor Training Program will be a structured certification process covering the following modules:</w:t>
      </w:r>
    </w:p>
    <w:p>
      <w:pPr>
        <w:pStyle w:val="ListParagraph"/>
        <w:numPr>
          <w:ilvl w:val="0"/>
          <w:numId w:val="5"/>
        </w:numPr>
        <w:spacing w:after="80"/>
      </w:pPr>
      <w:r>
        <w:rPr>
          <w:rFonts w:ascii="Arial" w:cs="Arial" w:eastAsia="Arial" w:hAnsi="Arial"/>
          <w:color w:val="333333"/>
          <w:sz w:val="22"/>
          <w:szCs w:val="22"/>
        </w:rPr>
        <w:t xml:space="preserve">Assessment Center Methodology and International Guidelines (8 hours)</w:t>
      </w:r>
    </w:p>
    <w:p>
      <w:pPr>
        <w:pStyle w:val="ListParagraph"/>
        <w:numPr>
          <w:ilvl w:val="0"/>
          <w:numId w:val="5"/>
        </w:numPr>
        <w:spacing w:after="80"/>
      </w:pPr>
      <w:r>
        <w:rPr>
          <w:rFonts w:ascii="Arial" w:cs="Arial" w:eastAsia="Arial" w:hAnsi="Arial"/>
          <w:color w:val="333333"/>
          <w:sz w:val="22"/>
          <w:szCs w:val="22"/>
        </w:rPr>
        <w:t xml:space="preserve">The VIFM Competency Framework: understanding behavioral indicators and rating scales (4 hours)</w:t>
      </w:r>
    </w:p>
    <w:p>
      <w:pPr>
        <w:pStyle w:val="ListParagraph"/>
        <w:numPr>
          <w:ilvl w:val="0"/>
          <w:numId w:val="5"/>
        </w:numPr>
        <w:spacing w:after="80"/>
      </w:pPr>
      <w:r>
        <w:rPr>
          <w:rFonts w:ascii="Arial" w:cs="Arial" w:eastAsia="Arial" w:hAnsi="Arial"/>
          <w:color w:val="333333"/>
          <w:sz w:val="22"/>
          <w:szCs w:val="22"/>
        </w:rPr>
        <w:t xml:space="preserve">Behavioral Observation, Recording, and Classification (BORC) techniques (8 hours)</w:t>
      </w:r>
    </w:p>
    <w:p>
      <w:pPr>
        <w:pStyle w:val="ListParagraph"/>
        <w:numPr>
          <w:ilvl w:val="0"/>
          <w:numId w:val="5"/>
        </w:numPr>
        <w:spacing w:after="80"/>
      </w:pPr>
      <w:r>
        <w:rPr>
          <w:rFonts w:ascii="Arial" w:cs="Arial" w:eastAsia="Arial" w:hAnsi="Arial"/>
          <w:color w:val="333333"/>
          <w:sz w:val="22"/>
          <w:szCs w:val="22"/>
        </w:rPr>
        <w:t xml:space="preserve">Rating and Scoring: using behavioral anchored rating scales (BARS) and avoiding common rater errors (halo, leniency, central tendency, contrast effects) (4 hours)</w:t>
      </w:r>
    </w:p>
    <w:p>
      <w:pPr>
        <w:pStyle w:val="ListParagraph"/>
        <w:numPr>
          <w:ilvl w:val="0"/>
          <w:numId w:val="5"/>
        </w:numPr>
        <w:spacing w:after="80"/>
      </w:pPr>
      <w:r>
        <w:rPr>
          <w:rFonts w:ascii="Arial" w:cs="Arial" w:eastAsia="Arial" w:hAnsi="Arial"/>
          <w:color w:val="333333"/>
          <w:sz w:val="22"/>
          <w:szCs w:val="22"/>
        </w:rPr>
        <w:t xml:space="preserve">Data Integration Discussion: consensus-building, evidence-based advocacy, and final rating calibration (4 hours)</w:t>
      </w:r>
    </w:p>
    <w:p>
      <w:pPr>
        <w:pStyle w:val="ListParagraph"/>
        <w:numPr>
          <w:ilvl w:val="0"/>
          <w:numId w:val="5"/>
        </w:numPr>
        <w:spacing w:after="80"/>
      </w:pPr>
      <w:r>
        <w:rPr>
          <w:rFonts w:ascii="Arial" w:cs="Arial" w:eastAsia="Arial" w:hAnsi="Arial"/>
          <w:color w:val="333333"/>
          <w:sz w:val="22"/>
          <w:szCs w:val="22"/>
        </w:rPr>
        <w:t xml:space="preserve">Report Writing: structuring candidate reports with behavioral evidence (4 hours)</w:t>
      </w:r>
    </w:p>
    <w:p>
      <w:pPr>
        <w:pStyle w:val="ListParagraph"/>
        <w:numPr>
          <w:ilvl w:val="0"/>
          <w:numId w:val="5"/>
        </w:numPr>
        <w:spacing w:after="80"/>
      </w:pPr>
      <w:r>
        <w:rPr>
          <w:rFonts w:ascii="Arial" w:cs="Arial" w:eastAsia="Arial" w:hAnsi="Arial"/>
          <w:color w:val="333333"/>
          <w:sz w:val="22"/>
          <w:szCs w:val="22"/>
        </w:rPr>
        <w:t xml:space="preserve">Feedback Delivery: conducting constructive feedback sessions with candidates and sponsors (4 hours)</w:t>
      </w:r>
    </w:p>
    <w:p>
      <w:pPr>
        <w:pStyle w:val="ListParagraph"/>
        <w:numPr>
          <w:ilvl w:val="0"/>
          <w:numId w:val="5"/>
        </w:numPr>
        <w:spacing w:after="80"/>
      </w:pPr>
      <w:r>
        <w:rPr>
          <w:rFonts w:ascii="Arial" w:cs="Arial" w:eastAsia="Arial" w:hAnsi="Arial"/>
          <w:color w:val="333333"/>
          <w:sz w:val="22"/>
          <w:szCs w:val="22"/>
        </w:rPr>
        <w:t xml:space="preserve">Supervised Practice: observing and rating a live or recorded assessment center under mentor supervision (4 hours)</w:t>
      </w:r>
    </w:p>
    <w:p>
      <w:pPr>
        <w:pStyle w:val="Heading2"/>
      </w:pPr>
      <w:r>
        <w:t xml:space="preserve">6.3 The Assessor Packet</w:t>
      </w:r>
    </w:p>
    <w:p>
      <w:pPr>
        <w:spacing w:after="160"/>
      </w:pPr>
      <w:r>
        <w:rPr>
          <w:rFonts w:ascii="Arial" w:cs="Arial" w:eastAsia="Arial" w:hAnsi="Arial"/>
          <w:color w:val="333333"/>
          <w:sz w:val="22"/>
          <w:szCs w:val="22"/>
        </w:rPr>
        <w:t xml:space="preserve">Each assessor will receive a standardized assessor packet for every assessment center engagement. The packet includes:</w:t>
      </w:r>
    </w:p>
    <w:p>
      <w:pPr>
        <w:pStyle w:val="ListParagraph"/>
        <w:numPr>
          <w:ilvl w:val="0"/>
          <w:numId w:val="2"/>
        </w:numPr>
        <w:spacing w:after="80"/>
      </w:pPr>
      <w:r>
        <w:rPr>
          <w:rFonts w:ascii="Arial" w:cs="Arial" w:eastAsia="Arial" w:hAnsi="Arial"/>
          <w:b/>
          <w:bCs/>
          <w:color w:val="1A3A6B"/>
          <w:sz w:val="22"/>
          <w:szCs w:val="22"/>
        </w:rPr>
        <w:t xml:space="preserve">Assessment Center Overview: </w:t>
      </w:r>
      <w:r>
        <w:rPr>
          <w:rFonts w:ascii="Arial" w:cs="Arial" w:eastAsia="Arial" w:hAnsi="Arial"/>
          <w:color w:val="333333"/>
          <w:sz w:val="22"/>
          <w:szCs w:val="22"/>
        </w:rPr>
        <w:t xml:space="preserve">Client context, target role, competency profile, and assessment schedule.</w:t>
      </w:r>
    </w:p>
    <w:p>
      <w:pPr>
        <w:pStyle w:val="ListParagraph"/>
        <w:numPr>
          <w:ilvl w:val="0"/>
          <w:numId w:val="2"/>
        </w:numPr>
        <w:spacing w:after="80"/>
      </w:pPr>
      <w:r>
        <w:rPr>
          <w:rFonts w:ascii="Arial" w:cs="Arial" w:eastAsia="Arial" w:hAnsi="Arial"/>
          <w:b/>
          <w:bCs/>
          <w:color w:val="1A3A6B"/>
          <w:sz w:val="22"/>
          <w:szCs w:val="22"/>
        </w:rPr>
        <w:t xml:space="preserve">Competency Dictionary: </w:t>
      </w:r>
      <w:r>
        <w:rPr>
          <w:rFonts w:ascii="Arial" w:cs="Arial" w:eastAsia="Arial" w:hAnsi="Arial"/>
          <w:color w:val="333333"/>
          <w:sz w:val="22"/>
          <w:szCs w:val="22"/>
        </w:rPr>
        <w:t xml:space="preserve">Detailed behavioral indicators for each competency at the appropriate level (positive and negative indicators).</w:t>
      </w:r>
    </w:p>
    <w:p>
      <w:pPr>
        <w:pStyle w:val="ListParagraph"/>
        <w:numPr>
          <w:ilvl w:val="0"/>
          <w:numId w:val="2"/>
        </w:numPr>
        <w:spacing w:after="80"/>
      </w:pPr>
      <w:r>
        <w:rPr>
          <w:rFonts w:ascii="Arial" w:cs="Arial" w:eastAsia="Arial" w:hAnsi="Arial"/>
          <w:b/>
          <w:bCs/>
          <w:color w:val="1A3A6B"/>
          <w:sz w:val="22"/>
          <w:szCs w:val="22"/>
        </w:rPr>
        <w:t xml:space="preserve">Exercise Briefs: </w:t>
      </w:r>
      <w:r>
        <w:rPr>
          <w:rFonts w:ascii="Arial" w:cs="Arial" w:eastAsia="Arial" w:hAnsi="Arial"/>
          <w:color w:val="333333"/>
          <w:sz w:val="22"/>
          <w:szCs w:val="22"/>
        </w:rPr>
        <w:t xml:space="preserve">Background material for each exercise, including the exercise-to-competency matrix.</w:t>
      </w:r>
    </w:p>
    <w:p>
      <w:pPr>
        <w:pStyle w:val="ListParagraph"/>
        <w:numPr>
          <w:ilvl w:val="0"/>
          <w:numId w:val="2"/>
        </w:numPr>
        <w:spacing w:after="80"/>
      </w:pPr>
      <w:r>
        <w:rPr>
          <w:rFonts w:ascii="Arial" w:cs="Arial" w:eastAsia="Arial" w:hAnsi="Arial"/>
          <w:b/>
          <w:bCs/>
          <w:color w:val="1A3A6B"/>
          <w:sz w:val="22"/>
          <w:szCs w:val="22"/>
        </w:rPr>
        <w:t xml:space="preserve">Observation Forms: </w:t>
      </w:r>
      <w:r>
        <w:rPr>
          <w:rFonts w:ascii="Arial" w:cs="Arial" w:eastAsia="Arial" w:hAnsi="Arial"/>
          <w:color w:val="333333"/>
          <w:sz w:val="22"/>
          <w:szCs w:val="22"/>
        </w:rPr>
        <w:t xml:space="preserve">Structured forms for recording behavioral observations during each exercise, organized by competency.</w:t>
      </w:r>
    </w:p>
    <w:p>
      <w:pPr>
        <w:pStyle w:val="ListParagraph"/>
        <w:numPr>
          <w:ilvl w:val="0"/>
          <w:numId w:val="2"/>
        </w:numPr>
        <w:spacing w:after="80"/>
      </w:pPr>
      <w:r>
        <w:rPr>
          <w:rFonts w:ascii="Arial" w:cs="Arial" w:eastAsia="Arial" w:hAnsi="Arial"/>
          <w:b/>
          <w:bCs/>
          <w:color w:val="1A3A6B"/>
          <w:sz w:val="22"/>
          <w:szCs w:val="22"/>
        </w:rPr>
        <w:t xml:space="preserve">Rating Scales: </w:t>
      </w:r>
      <w:r>
        <w:rPr>
          <w:rFonts w:ascii="Arial" w:cs="Arial" w:eastAsia="Arial" w:hAnsi="Arial"/>
          <w:color w:val="333333"/>
          <w:sz w:val="22"/>
          <w:szCs w:val="22"/>
        </w:rPr>
        <w:t xml:space="preserve">Five-point Behavioral Anchored Rating Scales (BARS) with behavioral anchors at each level (1=Significant Development Needed, 2=Development Needed, 3=Competent, 4=Strength, 5=Significant Strength).</w:t>
      </w:r>
    </w:p>
    <w:p>
      <w:pPr>
        <w:pStyle w:val="ListParagraph"/>
        <w:numPr>
          <w:ilvl w:val="0"/>
          <w:numId w:val="2"/>
        </w:numPr>
        <w:spacing w:after="80"/>
      </w:pPr>
      <w:r>
        <w:rPr>
          <w:rFonts w:ascii="Arial" w:cs="Arial" w:eastAsia="Arial" w:hAnsi="Arial"/>
          <w:b/>
          <w:bCs/>
          <w:color w:val="1A3A6B"/>
          <w:sz w:val="22"/>
          <w:szCs w:val="22"/>
        </w:rPr>
        <w:t xml:space="preserve">Integration Worksheet: </w:t>
      </w:r>
      <w:r>
        <w:rPr>
          <w:rFonts w:ascii="Arial" w:cs="Arial" w:eastAsia="Arial" w:hAnsi="Arial"/>
          <w:color w:val="333333"/>
          <w:sz w:val="22"/>
          <w:szCs w:val="22"/>
        </w:rPr>
        <w:t xml:space="preserve">Pre-integration form for assessors to consolidate their ratings and key evidence before the wash-up session.</w:t>
      </w:r>
    </w:p>
    <w:p>
      <w:pPr>
        <w:pStyle w:val="ListParagraph"/>
        <w:numPr>
          <w:ilvl w:val="0"/>
          <w:numId w:val="2"/>
        </w:numPr>
        <w:spacing w:after="80"/>
      </w:pPr>
      <w:r>
        <w:rPr>
          <w:rFonts w:ascii="Arial" w:cs="Arial" w:eastAsia="Arial" w:hAnsi="Arial"/>
          <w:b/>
          <w:bCs/>
          <w:color w:val="1A3A6B"/>
          <w:sz w:val="22"/>
          <w:szCs w:val="22"/>
        </w:rPr>
        <w:t xml:space="preserve">Role Player Prompt Sheets: </w:t>
      </w:r>
      <w:r>
        <w:rPr>
          <w:rFonts w:ascii="Arial" w:cs="Arial" w:eastAsia="Arial" w:hAnsi="Arial"/>
          <w:color w:val="333333"/>
          <w:sz w:val="22"/>
          <w:szCs w:val="22"/>
        </w:rPr>
        <w:t xml:space="preserve">For role play exercises, the standardized prompts and trigger behaviors the role player will use.</w:t>
      </w:r>
    </w:p>
    <w:p>
      <w:r>
        <w:br w:type="page"/>
      </w:r>
    </w:p>
    <w:p>
      <w:pPr>
        <w:pStyle w:val="Heading1"/>
      </w:pPr>
      <w:r>
        <w:t xml:space="preserve">7. Delivery Models</w:t>
      </w:r>
    </w:p>
    <w:p>
      <w:pPr>
        <w:pStyle w:val="Heading2"/>
      </w:pPr>
      <w:r>
        <w:t xml:space="preserve">7.1 In-Person Assessment Center</w:t>
      </w:r>
    </w:p>
    <w:p>
      <w:pPr>
        <w:spacing w:after="160"/>
      </w:pPr>
      <w:r>
        <w:rPr>
          <w:rFonts w:ascii="Arial" w:cs="Arial" w:eastAsia="Arial" w:hAnsi="Arial"/>
          <w:b/>
          <w:bCs/>
          <w:color w:val="1A3A6B"/>
          <w:sz w:val="22"/>
          <w:szCs w:val="22"/>
        </w:rPr>
        <w:t xml:space="preserve">Best For: </w:t>
      </w:r>
      <w:r>
        <w:rPr>
          <w:rFonts w:ascii="Arial" w:cs="Arial" w:eastAsia="Arial" w:hAnsi="Arial"/>
          <w:color w:val="333333"/>
          <w:sz w:val="22"/>
          <w:szCs w:val="22"/>
        </w:rPr>
        <w:t xml:space="preserve">Senior leadership assessments, high-stakes selection decisions, government mandated assessments.</w:t>
      </w:r>
    </w:p>
    <w:p>
      <w:pPr>
        <w:spacing w:after="160"/>
      </w:pPr>
      <w:r>
        <w:rPr>
          <w:rFonts w:ascii="Arial" w:cs="Arial" w:eastAsia="Arial" w:hAnsi="Arial"/>
          <w:b/>
          <w:bCs/>
          <w:color w:val="1A3A6B"/>
          <w:sz w:val="22"/>
          <w:szCs w:val="22"/>
        </w:rPr>
        <w:t xml:space="preserve">Setup: </w:t>
      </w:r>
      <w:r>
        <w:rPr>
          <w:rFonts w:ascii="Arial" w:cs="Arial" w:eastAsia="Arial" w:hAnsi="Arial"/>
          <w:color w:val="333333"/>
          <w:sz w:val="22"/>
          <w:szCs w:val="22"/>
        </w:rPr>
        <w:t xml:space="preserve">Dedicated assessment rooms at client site or VIFM facilities. Requires observation rooms or one-way mirrors for role plays.</w:t>
      </w:r>
    </w:p>
    <w:p>
      <w:pPr>
        <w:spacing w:after="160"/>
      </w:pPr>
      <w:r>
        <w:rPr>
          <w:rFonts w:ascii="Arial" w:cs="Arial" w:eastAsia="Arial" w:hAnsi="Arial"/>
          <w:b/>
          <w:bCs/>
          <w:color w:val="1A3A6B"/>
          <w:sz w:val="22"/>
          <w:szCs w:val="22"/>
        </w:rPr>
        <w:t xml:space="preserve">Typical Duration: </w:t>
      </w:r>
      <w:r>
        <w:rPr>
          <w:rFonts w:ascii="Arial" w:cs="Arial" w:eastAsia="Arial" w:hAnsi="Arial"/>
          <w:color w:val="333333"/>
          <w:sz w:val="22"/>
          <w:szCs w:val="22"/>
        </w:rPr>
        <w:t xml:space="preserve">Full day (8-10 hours) for senior roles; half day (4-5 hours) for junior/mid-level.</w:t>
      </w:r>
    </w:p>
    <w:p>
      <w:pPr>
        <w:spacing w:after="160"/>
      </w:pPr>
      <w:r>
        <w:rPr>
          <w:rFonts w:ascii="Arial" w:cs="Arial" w:eastAsia="Arial" w:hAnsi="Arial"/>
          <w:b/>
          <w:bCs/>
          <w:color w:val="1A3A6B"/>
          <w:sz w:val="22"/>
          <w:szCs w:val="22"/>
        </w:rPr>
        <w:t xml:space="preserve">Assessor-to-Candidate Ratio: </w:t>
      </w:r>
      <w:r>
        <w:rPr>
          <w:rFonts w:ascii="Arial" w:cs="Arial" w:eastAsia="Arial" w:hAnsi="Arial"/>
          <w:color w:val="333333"/>
          <w:sz w:val="22"/>
          <w:szCs w:val="22"/>
        </w:rPr>
        <w:t xml:space="preserve">1:2 (one assessor observes two candidates across exercises).</w:t>
      </w:r>
    </w:p>
    <w:p>
      <w:pPr>
        <w:spacing w:after="160"/>
      </w:pPr>
      <w:r>
        <w:rPr>
          <w:rFonts w:ascii="Arial" w:cs="Arial" w:eastAsia="Arial" w:hAnsi="Arial"/>
          <w:b/>
          <w:bCs/>
          <w:color w:val="1A3A6B"/>
          <w:sz w:val="22"/>
          <w:szCs w:val="22"/>
        </w:rPr>
        <w:t xml:space="preserve">Candidate Group Size: </w:t>
      </w:r>
      <w:r>
        <w:rPr>
          <w:rFonts w:ascii="Arial" w:cs="Arial" w:eastAsia="Arial" w:hAnsi="Arial"/>
          <w:color w:val="333333"/>
          <w:sz w:val="22"/>
          <w:szCs w:val="22"/>
        </w:rPr>
        <w:t xml:space="preserve">6-8 per assessment center session.</w:t>
      </w:r>
    </w:p>
    <w:p>
      <w:pPr>
        <w:pStyle w:val="Heading2"/>
      </w:pPr>
      <w:r>
        <w:t xml:space="preserve">7.2 Virtual Assessment Center</w:t>
      </w:r>
    </w:p>
    <w:p>
      <w:pPr>
        <w:spacing w:after="160"/>
      </w:pPr>
      <w:r>
        <w:rPr>
          <w:rFonts w:ascii="Arial" w:cs="Arial" w:eastAsia="Arial" w:hAnsi="Arial"/>
          <w:b/>
          <w:bCs/>
          <w:color w:val="1A3A6B"/>
          <w:sz w:val="22"/>
          <w:szCs w:val="22"/>
        </w:rPr>
        <w:t xml:space="preserve">Best For: </w:t>
      </w:r>
      <w:r>
        <w:rPr>
          <w:rFonts w:ascii="Arial" w:cs="Arial" w:eastAsia="Arial" w:hAnsi="Arial"/>
          <w:color w:val="333333"/>
          <w:sz w:val="22"/>
          <w:szCs w:val="22"/>
        </w:rPr>
        <w:t xml:space="preserve">Volume recruitment, geographically dispersed candidates, pre-screening before in-person final rounds.</w:t>
      </w:r>
    </w:p>
    <w:p>
      <w:pPr>
        <w:spacing w:after="160"/>
      </w:pPr>
      <w:r>
        <w:rPr>
          <w:rFonts w:ascii="Arial" w:cs="Arial" w:eastAsia="Arial" w:hAnsi="Arial"/>
          <w:b/>
          <w:bCs/>
          <w:color w:val="1A3A6B"/>
          <w:sz w:val="22"/>
          <w:szCs w:val="22"/>
        </w:rPr>
        <w:t xml:space="preserve">Platform Requirements: </w:t>
      </w:r>
      <w:r>
        <w:rPr>
          <w:rFonts w:ascii="Arial" w:cs="Arial" w:eastAsia="Arial" w:hAnsi="Arial"/>
          <w:color w:val="333333"/>
          <w:sz w:val="22"/>
          <w:szCs w:val="22"/>
        </w:rPr>
        <w:t xml:space="preserve">Video conferencing with breakout rooms, screen sharing, digital whiteboard, recording capability.</w:t>
      </w:r>
    </w:p>
    <w:p>
      <w:pPr>
        <w:spacing w:after="160"/>
      </w:pPr>
      <w:r>
        <w:rPr>
          <w:rFonts w:ascii="Arial" w:cs="Arial" w:eastAsia="Arial" w:hAnsi="Arial"/>
          <w:b/>
          <w:bCs/>
          <w:color w:val="1A3A6B"/>
          <w:sz w:val="22"/>
          <w:szCs w:val="22"/>
        </w:rPr>
        <w:t xml:space="preserve">Adaptations: </w:t>
      </w:r>
      <w:r>
        <w:rPr>
          <w:rFonts w:ascii="Arial" w:cs="Arial" w:eastAsia="Arial" w:hAnsi="Arial"/>
          <w:color w:val="333333"/>
          <w:sz w:val="22"/>
          <w:szCs w:val="22"/>
        </w:rPr>
        <w:t xml:space="preserve">Exercises redesigned for virtual delivery (shorter durations, digital in-trays, virtual group discussions). Role plays conducted via video with trained virtual role players.</w:t>
      </w:r>
    </w:p>
    <w:p>
      <w:pPr>
        <w:spacing w:after="160"/>
      </w:pPr>
      <w:r>
        <w:rPr>
          <w:rFonts w:ascii="Arial" w:cs="Arial" w:eastAsia="Arial" w:hAnsi="Arial"/>
          <w:b/>
          <w:bCs/>
          <w:color w:val="1A3A6B"/>
          <w:sz w:val="22"/>
          <w:szCs w:val="22"/>
        </w:rPr>
        <w:t xml:space="preserve">Technology Stack: </w:t>
      </w:r>
      <w:r>
        <w:rPr>
          <w:rFonts w:ascii="Arial" w:cs="Arial" w:eastAsia="Arial" w:hAnsi="Arial"/>
          <w:color w:val="333333"/>
          <w:sz w:val="22"/>
          <w:szCs w:val="22"/>
        </w:rPr>
        <w:t xml:space="preserve">VIFM's assessment portal (assessments.viftraining.com) for psychometric delivery, integrated with video platforms for simulation exercises.</w:t>
      </w:r>
    </w:p>
    <w:p>
      <w:pPr>
        <w:pStyle w:val="Heading2"/>
      </w:pPr>
      <w:r>
        <w:t xml:space="preserve">7.3 Hybrid Model</w:t>
      </w:r>
    </w:p>
    <w:p>
      <w:pPr>
        <w:spacing w:after="160"/>
      </w:pPr>
      <w:r>
        <w:rPr>
          <w:rFonts w:ascii="Arial" w:cs="Arial" w:eastAsia="Arial" w:hAnsi="Arial"/>
          <w:b/>
          <w:bCs/>
          <w:color w:val="1A3A6B"/>
          <w:sz w:val="22"/>
          <w:szCs w:val="22"/>
        </w:rPr>
        <w:t xml:space="preserve">Best For: </w:t>
      </w:r>
      <w:r>
        <w:rPr>
          <w:rFonts w:ascii="Arial" w:cs="Arial" w:eastAsia="Arial" w:hAnsi="Arial"/>
          <w:color w:val="333333"/>
          <w:sz w:val="22"/>
          <w:szCs w:val="22"/>
        </w:rPr>
        <w:t xml:space="preserve">Organizations requiring flexibility, multi-stage assessment processes.</w:t>
      </w:r>
    </w:p>
    <w:p>
      <w:pPr>
        <w:spacing w:after="160"/>
      </w:pPr>
      <w:r>
        <w:rPr>
          <w:rFonts w:ascii="Arial" w:cs="Arial" w:eastAsia="Arial" w:hAnsi="Arial"/>
          <w:b/>
          <w:bCs/>
          <w:color w:val="1A3A6B"/>
          <w:sz w:val="22"/>
          <w:szCs w:val="22"/>
        </w:rPr>
        <w:t xml:space="preserve">Stage 1 (Virtual): </w:t>
      </w:r>
      <w:r>
        <w:rPr>
          <w:rFonts w:ascii="Arial" w:cs="Arial" w:eastAsia="Arial" w:hAnsi="Arial"/>
          <w:color w:val="333333"/>
          <w:sz w:val="22"/>
          <w:szCs w:val="22"/>
        </w:rPr>
        <w:t xml:space="preserve">Online psychometric testing (cognitive ability + personality) and SJT screening. Candidates complete remotely within a defined window.</w:t>
      </w:r>
    </w:p>
    <w:p>
      <w:pPr>
        <w:spacing w:after="160"/>
      </w:pPr>
      <w:r>
        <w:rPr>
          <w:rFonts w:ascii="Arial" w:cs="Arial" w:eastAsia="Arial" w:hAnsi="Arial"/>
          <w:b/>
          <w:bCs/>
          <w:color w:val="1A3A6B"/>
          <w:sz w:val="22"/>
          <w:szCs w:val="22"/>
        </w:rPr>
        <w:t xml:space="preserve">Stage 2 (In-Person): </w:t>
      </w:r>
      <w:r>
        <w:rPr>
          <w:rFonts w:ascii="Arial" w:cs="Arial" w:eastAsia="Arial" w:hAnsi="Arial"/>
          <w:color w:val="333333"/>
          <w:sz w:val="22"/>
          <w:szCs w:val="22"/>
        </w:rPr>
        <w:t xml:space="preserve">Shortlisted candidates attend a half-day or full-day in-person assessment center for simulation exercises, interview, and group exercise.</w:t>
      </w:r>
    </w:p>
    <w:p>
      <w:pPr>
        <w:spacing w:after="160"/>
      </w:pPr>
      <w:r>
        <w:rPr>
          <w:rFonts w:ascii="Arial" w:cs="Arial" w:eastAsia="Arial" w:hAnsi="Arial"/>
          <w:color w:val="333333"/>
          <w:sz w:val="22"/>
          <w:szCs w:val="22"/>
        </w:rPr>
        <w:t xml:space="preserve">This hybrid approach reduces cost per candidate while maintaining the depth and validity of in-person behavioral observation for the final stage.</w:t>
      </w:r>
    </w:p>
    <w:p>
      <w:r>
        <w:br w:type="page"/>
      </w:r>
    </w:p>
    <w:p>
      <w:pPr>
        <w:pStyle w:val="Heading1"/>
      </w:pPr>
      <w:r>
        <w:t xml:space="preserve">8. Scoring and Reporting</w:t>
      </w:r>
    </w:p>
    <w:p>
      <w:pPr>
        <w:pStyle w:val="Heading2"/>
      </w:pPr>
      <w:r>
        <w:t xml:space="preserve">8.1 Rating Methodology</w:t>
      </w:r>
    </w:p>
    <w:p>
      <w:pPr>
        <w:spacing w:after="160"/>
      </w:pPr>
      <w:r>
        <w:rPr>
          <w:rFonts w:ascii="Arial" w:cs="Arial" w:eastAsia="Arial" w:hAnsi="Arial"/>
          <w:color w:val="333333"/>
          <w:sz w:val="22"/>
          <w:szCs w:val="22"/>
        </w:rPr>
        <w:t xml:space="preserve">VIFM-AC uses Behavioral Anchored Rating Scales (BARS) with a 5-point scale. Assessors rate candidates on each competency within each exercise independently, then integrate ratings during a structured wash-up discussion.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5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Significant Strength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Consistently demonstrates the competency at a level well above the target role requirements. Multiple strong examples observed across exercises.</w:t>
            </w:r>
          </w:p>
        </w:tc>
      </w:tr>
      <w:tr>
        <w:tc>
          <w:tcPr>
            <w:tcW w:type="dxa" w:w="1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Strength</w:t>
            </w:r>
          </w:p>
        </w:tc>
        <w:tc>
          <w:tcPr>
            <w:tcW w:type="dxa" w:w="55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Demonstrates the competency above the target role requirements in most situations. Clear positive behavioral evidence observed.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Meets the target role requirements. Demonstrates the competency adequately with some positive evidence. May show inconsistency across exercises.</w:t>
            </w:r>
          </w:p>
        </w:tc>
      </w:tr>
      <w:tr>
        <w:tc>
          <w:tcPr>
            <w:tcW w:type="dxa" w:w="1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Development Needed</w:t>
            </w:r>
          </w:p>
        </w:tc>
        <w:tc>
          <w:tcPr>
            <w:tcW w:type="dxa" w:w="55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Falls below target role requirements in some areas. Limited positive evidence observed. Development intervention required before role readiness.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Significant Development Needed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Falls significantly below target role requirements. Little or no positive behavioral evidence observed. Substantial development required.</w:t>
            </w:r>
          </w:p>
        </w:tc>
      </w:tr>
    </w:tbl>
    <w:p>
      <w:pPr>
        <w:spacing w:after="80"/>
      </w:pPr>
    </w:p>
    <w:p>
      <w:pPr>
        <w:pStyle w:val="Heading2"/>
      </w:pPr>
      <w:r>
        <w:t xml:space="preserve">8.2 Data Integration (Wash-Up) Process</w:t>
      </w:r>
    </w:p>
    <w:p>
      <w:pPr>
        <w:spacing w:after="160"/>
      </w:pPr>
      <w:r>
        <w:rPr>
          <w:rFonts w:ascii="Arial" w:cs="Arial" w:eastAsia="Arial" w:hAnsi="Arial"/>
          <w:color w:val="333333"/>
          <w:sz w:val="22"/>
          <w:szCs w:val="22"/>
        </w:rPr>
        <w:t xml:space="preserve">The wash-up discussion is the most critical step in the assessment center process. It follows a structured protocol:</w:t>
      </w:r>
    </w:p>
    <w:p>
      <w:pPr>
        <w:pStyle w:val="ListParagraph"/>
        <w:numPr>
          <w:ilvl w:val="0"/>
          <w:numId w:val="6"/>
        </w:numPr>
        <w:spacing w:after="80"/>
      </w:pPr>
      <w:r>
        <w:rPr>
          <w:rFonts w:ascii="Arial" w:cs="Arial" w:eastAsia="Arial" w:hAnsi="Arial"/>
          <w:color w:val="333333"/>
          <w:sz w:val="22"/>
          <w:szCs w:val="22"/>
        </w:rPr>
        <w:t xml:space="preserve">Pre-Integration: Each assessor reviews their observation notes and prepares preliminary ratings for each competency on the integration worksheet. No assessor discussion occurs before this step.</w:t>
      </w:r>
    </w:p>
    <w:p>
      <w:pPr>
        <w:pStyle w:val="ListParagraph"/>
        <w:numPr>
          <w:ilvl w:val="0"/>
          <w:numId w:val="6"/>
        </w:numPr>
        <w:spacing w:after="80"/>
      </w:pPr>
      <w:r>
        <w:rPr>
          <w:rFonts w:ascii="Arial" w:cs="Arial" w:eastAsia="Arial" w:hAnsi="Arial"/>
          <w:color w:val="333333"/>
          <w:sz w:val="22"/>
          <w:szCs w:val="22"/>
        </w:rPr>
        <w:t xml:space="preserve">Competency-by-Competency Discussion: The Lead Assessor facilitates a structured discussion for each competency. Each assessor presents their observations and ratings. Discussion focuses on behavioral evidence, not impressions.</w:t>
      </w:r>
    </w:p>
    <w:p>
      <w:pPr>
        <w:pStyle w:val="ListParagraph"/>
        <w:numPr>
          <w:ilvl w:val="0"/>
          <w:numId w:val="6"/>
        </w:numPr>
        <w:spacing w:after="80"/>
      </w:pPr>
      <w:r>
        <w:rPr>
          <w:rFonts w:ascii="Arial" w:cs="Arial" w:eastAsia="Arial" w:hAnsi="Arial"/>
          <w:color w:val="333333"/>
          <w:sz w:val="22"/>
          <w:szCs w:val="22"/>
        </w:rPr>
        <w:t xml:space="preserve">Consensus Rating: The assessor team agrees on a final consensus rating for each competency based on the weight of behavioral evidence. Where consensus cannot be reached, the Lead Assessor makes the final determination.</w:t>
      </w:r>
    </w:p>
    <w:p>
      <w:pPr>
        <w:pStyle w:val="ListParagraph"/>
        <w:numPr>
          <w:ilvl w:val="0"/>
          <w:numId w:val="6"/>
        </w:numPr>
        <w:spacing w:after="80"/>
      </w:pPr>
      <w:r>
        <w:rPr>
          <w:rFonts w:ascii="Arial" w:cs="Arial" w:eastAsia="Arial" w:hAnsi="Arial"/>
          <w:color w:val="333333"/>
          <w:sz w:val="22"/>
          <w:szCs w:val="22"/>
        </w:rPr>
        <w:t xml:space="preserve">Overall Assessment Rating (OAR): A holistic judgment of the candidate's overall suitability for the target role, calibrated against other candidates in the assessment group.</w:t>
      </w:r>
    </w:p>
    <w:p>
      <w:pPr>
        <w:pStyle w:val="Heading2"/>
      </w:pPr>
      <w:r>
        <w:t xml:space="preserve">8.3 Candidate Report Structure</w:t>
      </w:r>
    </w:p>
    <w:p>
      <w:pPr>
        <w:spacing w:after="160"/>
      </w:pPr>
      <w:r>
        <w:rPr>
          <w:rFonts w:ascii="Arial" w:cs="Arial" w:eastAsia="Arial" w:hAnsi="Arial"/>
          <w:color w:val="333333"/>
          <w:sz w:val="22"/>
          <w:szCs w:val="22"/>
        </w:rPr>
        <w:t xml:space="preserve">Each candidate receives a comprehensive assessment report with the following sections:</w:t>
      </w:r>
    </w:p>
    <w:p>
      <w:pPr>
        <w:pStyle w:val="ListParagraph"/>
        <w:numPr>
          <w:ilvl w:val="0"/>
          <w:numId w:val="2"/>
        </w:numPr>
        <w:spacing w:after="80"/>
      </w:pPr>
      <w:r>
        <w:rPr>
          <w:rFonts w:ascii="Arial" w:cs="Arial" w:eastAsia="Arial" w:hAnsi="Arial"/>
          <w:b/>
          <w:bCs/>
          <w:color w:val="1A3A6B"/>
          <w:sz w:val="22"/>
          <w:szCs w:val="22"/>
        </w:rPr>
        <w:t xml:space="preserve">Executive Summary: </w:t>
      </w:r>
      <w:r>
        <w:rPr>
          <w:rFonts w:ascii="Arial" w:cs="Arial" w:eastAsia="Arial" w:hAnsi="Arial"/>
          <w:color w:val="333333"/>
          <w:sz w:val="22"/>
          <w:szCs w:val="22"/>
        </w:rPr>
        <w:t xml:space="preserve">One-page overview including the OAR, key strengths, key development areas, and suitability recommendation.</w:t>
      </w:r>
    </w:p>
    <w:p>
      <w:pPr>
        <w:pStyle w:val="ListParagraph"/>
        <w:numPr>
          <w:ilvl w:val="0"/>
          <w:numId w:val="2"/>
        </w:numPr>
        <w:spacing w:after="80"/>
      </w:pPr>
      <w:r>
        <w:rPr>
          <w:rFonts w:ascii="Arial" w:cs="Arial" w:eastAsia="Arial" w:hAnsi="Arial"/>
          <w:b/>
          <w:bCs/>
          <w:color w:val="1A3A6B"/>
          <w:sz w:val="22"/>
          <w:szCs w:val="22"/>
        </w:rPr>
        <w:t xml:space="preserve">Competency Profile: </w:t>
      </w:r>
      <w:r>
        <w:rPr>
          <w:rFonts w:ascii="Arial" w:cs="Arial" w:eastAsia="Arial" w:hAnsi="Arial"/>
          <w:color w:val="333333"/>
          <w:sz w:val="22"/>
          <w:szCs w:val="22"/>
        </w:rPr>
        <w:t xml:space="preserve">Visual profile (radar chart or bar graph) showing the candidate's rating on each assessed competency against the target role requirements.</w:t>
      </w:r>
    </w:p>
    <w:p>
      <w:pPr>
        <w:pStyle w:val="ListParagraph"/>
        <w:numPr>
          <w:ilvl w:val="0"/>
          <w:numId w:val="2"/>
        </w:numPr>
        <w:spacing w:after="80"/>
      </w:pPr>
      <w:r>
        <w:rPr>
          <w:rFonts w:ascii="Arial" w:cs="Arial" w:eastAsia="Arial" w:hAnsi="Arial"/>
          <w:b/>
          <w:bCs/>
          <w:color w:val="1A3A6B"/>
          <w:sz w:val="22"/>
          <w:szCs w:val="22"/>
        </w:rPr>
        <w:t xml:space="preserve">Competency Detail Pages: </w:t>
      </w:r>
      <w:r>
        <w:rPr>
          <w:rFonts w:ascii="Arial" w:cs="Arial" w:eastAsia="Arial" w:hAnsi="Arial"/>
          <w:color w:val="333333"/>
          <w:sz w:val="22"/>
          <w:szCs w:val="22"/>
        </w:rPr>
        <w:t xml:space="preserve">For each competency: the rating, behavioral evidence observed across exercises, and development recommendations.</w:t>
      </w:r>
    </w:p>
    <w:p>
      <w:pPr>
        <w:pStyle w:val="ListParagraph"/>
        <w:numPr>
          <w:ilvl w:val="0"/>
          <w:numId w:val="2"/>
        </w:numPr>
        <w:spacing w:after="80"/>
      </w:pPr>
      <w:r>
        <w:rPr>
          <w:rFonts w:ascii="Arial" w:cs="Arial" w:eastAsia="Arial" w:hAnsi="Arial"/>
          <w:b/>
          <w:bCs/>
          <w:color w:val="1A3A6B"/>
          <w:sz w:val="22"/>
          <w:szCs w:val="22"/>
        </w:rPr>
        <w:t xml:space="preserve">Psychometric Results: </w:t>
      </w:r>
      <w:r>
        <w:rPr>
          <w:rFonts w:ascii="Arial" w:cs="Arial" w:eastAsia="Arial" w:hAnsi="Arial"/>
          <w:color w:val="333333"/>
          <w:sz w:val="22"/>
          <w:szCs w:val="22"/>
        </w:rPr>
        <w:t xml:space="preserve">Summary of cognitive ability scores (percentile rankings against relevant norm group) and personality profile highlights.</w:t>
      </w:r>
    </w:p>
    <w:p>
      <w:pPr>
        <w:pStyle w:val="ListParagraph"/>
        <w:numPr>
          <w:ilvl w:val="0"/>
          <w:numId w:val="2"/>
        </w:numPr>
        <w:spacing w:after="80"/>
      </w:pPr>
      <w:r>
        <w:rPr>
          <w:rFonts w:ascii="Arial" w:cs="Arial" w:eastAsia="Arial" w:hAnsi="Arial"/>
          <w:b/>
          <w:bCs/>
          <w:color w:val="1A3A6B"/>
          <w:sz w:val="22"/>
          <w:szCs w:val="22"/>
        </w:rPr>
        <w:t xml:space="preserve">Development Plan: </w:t>
      </w:r>
      <w:r>
        <w:rPr>
          <w:rFonts w:ascii="Arial" w:cs="Arial" w:eastAsia="Arial" w:hAnsi="Arial"/>
          <w:color w:val="333333"/>
          <w:sz w:val="22"/>
          <w:szCs w:val="22"/>
        </w:rPr>
        <w:t xml:space="preserve">Tailored development recommendations linked to VIFM training programs and on-the-job development activities.</w:t>
      </w:r>
    </w:p>
    <w:p>
      <w:pPr>
        <w:pStyle w:val="ListParagraph"/>
        <w:numPr>
          <w:ilvl w:val="0"/>
          <w:numId w:val="2"/>
        </w:numPr>
        <w:spacing w:after="80"/>
      </w:pPr>
      <w:r>
        <w:rPr>
          <w:rFonts w:ascii="Arial" w:cs="Arial" w:eastAsia="Arial" w:hAnsi="Arial"/>
          <w:b/>
          <w:bCs/>
          <w:color w:val="1A3A6B"/>
          <w:sz w:val="22"/>
          <w:szCs w:val="22"/>
        </w:rPr>
        <w:t xml:space="preserve">Appendices: </w:t>
      </w:r>
      <w:r>
        <w:rPr>
          <w:rFonts w:ascii="Arial" w:cs="Arial" w:eastAsia="Arial" w:hAnsi="Arial"/>
          <w:color w:val="333333"/>
          <w:sz w:val="22"/>
          <w:szCs w:val="22"/>
        </w:rPr>
        <w:t xml:space="preserve">Psychometric technical details, assessor qualifications, and methodology notes.</w:t>
      </w:r>
    </w:p>
    <w:p>
      <w:r>
        <w:br w:type="page"/>
      </w:r>
    </w:p>
    <w:p>
      <w:pPr>
        <w:pStyle w:val="Heading1"/>
      </w:pPr>
      <w:r>
        <w:t xml:space="preserve">9. Technology Platform Requirements</w:t>
      </w:r>
    </w:p>
    <w:p>
      <w:pPr>
        <w:pStyle w:val="Heading2"/>
      </w:pPr>
      <w:r>
        <w:t xml:space="preserve">9.1 Platform Architecture</w:t>
      </w:r>
    </w:p>
    <w:p>
      <w:pPr>
        <w:spacing w:after="160"/>
      </w:pPr>
      <w:r>
        <w:rPr>
          <w:rFonts w:ascii="Arial" w:cs="Arial" w:eastAsia="Arial" w:hAnsi="Arial"/>
          <w:color w:val="333333"/>
          <w:sz w:val="22"/>
          <w:szCs w:val="22"/>
        </w:rPr>
        <w:t xml:space="preserve">VIFM-AC requires a technology platform that supports the end-to-end assessment lifecycle. The platform will be built as a module within VIFM's existing assessment portal (assessments.viftraining.com), leveraging the existing React/Node.js/Supabase stack.</w:t>
      </w:r>
    </w:p>
    <w:p>
      <w:pPr>
        <w:pStyle w:val="Heading2"/>
      </w:pPr>
      <w:r>
        <w:t xml:space="preserve">9.2 Core Modules</w:t>
      </w:r>
    </w:p>
    <w:p>
      <w:pPr>
        <w:pStyle w:val="ListParagraph"/>
        <w:numPr>
          <w:ilvl w:val="0"/>
          <w:numId w:val="2"/>
        </w:numPr>
        <w:spacing w:after="80"/>
      </w:pPr>
      <w:r>
        <w:rPr>
          <w:rFonts w:ascii="Arial" w:cs="Arial" w:eastAsia="Arial" w:hAnsi="Arial"/>
          <w:b/>
          <w:bCs/>
          <w:color w:val="1A3A6B"/>
          <w:sz w:val="22"/>
          <w:szCs w:val="22"/>
        </w:rPr>
        <w:t xml:space="preserve">Client Management: </w:t>
      </w:r>
      <w:r>
        <w:rPr>
          <w:rFonts w:ascii="Arial" w:cs="Arial" w:eastAsia="Arial" w:hAnsi="Arial"/>
          <w:color w:val="333333"/>
          <w:sz w:val="22"/>
          <w:szCs w:val="22"/>
        </w:rPr>
        <w:t xml:space="preserve">Client onboarding, project setup, competency profile configuration, and engagement tracking.</w:t>
      </w:r>
    </w:p>
    <w:p>
      <w:pPr>
        <w:pStyle w:val="ListParagraph"/>
        <w:numPr>
          <w:ilvl w:val="0"/>
          <w:numId w:val="2"/>
        </w:numPr>
        <w:spacing w:after="80"/>
      </w:pPr>
      <w:r>
        <w:rPr>
          <w:rFonts w:ascii="Arial" w:cs="Arial" w:eastAsia="Arial" w:hAnsi="Arial"/>
          <w:b/>
          <w:bCs/>
          <w:color w:val="1A3A6B"/>
          <w:sz w:val="22"/>
          <w:szCs w:val="22"/>
        </w:rPr>
        <w:t xml:space="preserve">Candidate Portal: </w:t>
      </w:r>
      <w:r>
        <w:rPr>
          <w:rFonts w:ascii="Arial" w:cs="Arial" w:eastAsia="Arial" w:hAnsi="Arial"/>
          <w:color w:val="333333"/>
          <w:sz w:val="22"/>
          <w:szCs w:val="22"/>
        </w:rPr>
        <w:t xml:space="preserve">Candidate registration, consent forms, test scheduling, psychometric test delivery, and results access.</w:t>
      </w:r>
    </w:p>
    <w:p>
      <w:pPr>
        <w:pStyle w:val="ListParagraph"/>
        <w:numPr>
          <w:ilvl w:val="0"/>
          <w:numId w:val="2"/>
        </w:numPr>
        <w:spacing w:after="80"/>
      </w:pPr>
      <w:r>
        <w:rPr>
          <w:rFonts w:ascii="Arial" w:cs="Arial" w:eastAsia="Arial" w:hAnsi="Arial"/>
          <w:b/>
          <w:bCs/>
          <w:color w:val="1A3A6B"/>
          <w:sz w:val="22"/>
          <w:szCs w:val="22"/>
        </w:rPr>
        <w:t xml:space="preserve">Exercise Management: </w:t>
      </w:r>
      <w:r>
        <w:rPr>
          <w:rFonts w:ascii="Arial" w:cs="Arial" w:eastAsia="Arial" w:hAnsi="Arial"/>
          <w:color w:val="333333"/>
          <w:sz w:val="22"/>
          <w:szCs w:val="22"/>
        </w:rPr>
        <w:t xml:space="preserve">Digital in-basket/e-tray delivery, case study materials distribution, and timed exercise administration.</w:t>
      </w:r>
    </w:p>
    <w:p>
      <w:pPr>
        <w:pStyle w:val="ListParagraph"/>
        <w:numPr>
          <w:ilvl w:val="0"/>
          <w:numId w:val="2"/>
        </w:numPr>
        <w:spacing w:after="80"/>
      </w:pPr>
      <w:r>
        <w:rPr>
          <w:rFonts w:ascii="Arial" w:cs="Arial" w:eastAsia="Arial" w:hAnsi="Arial"/>
          <w:b/>
          <w:bCs/>
          <w:color w:val="1A3A6B"/>
          <w:sz w:val="22"/>
          <w:szCs w:val="22"/>
        </w:rPr>
        <w:t xml:space="preserve">Assessor Portal: </w:t>
      </w:r>
      <w:r>
        <w:rPr>
          <w:rFonts w:ascii="Arial" w:cs="Arial" w:eastAsia="Arial" w:hAnsi="Arial"/>
          <w:color w:val="333333"/>
          <w:sz w:val="22"/>
          <w:szCs w:val="22"/>
        </w:rPr>
        <w:t xml:space="preserve">Digital observation forms, rating input, integration worksheet, and report generation.</w:t>
      </w:r>
    </w:p>
    <w:p>
      <w:pPr>
        <w:pStyle w:val="ListParagraph"/>
        <w:numPr>
          <w:ilvl w:val="0"/>
          <w:numId w:val="2"/>
        </w:numPr>
        <w:spacing w:after="80"/>
      </w:pPr>
      <w:r>
        <w:rPr>
          <w:rFonts w:ascii="Arial" w:cs="Arial" w:eastAsia="Arial" w:hAnsi="Arial"/>
          <w:b/>
          <w:bCs/>
          <w:color w:val="1A3A6B"/>
          <w:sz w:val="22"/>
          <w:szCs w:val="22"/>
        </w:rPr>
        <w:t xml:space="preserve">Video Integration: </w:t>
      </w:r>
      <w:r>
        <w:rPr>
          <w:rFonts w:ascii="Arial" w:cs="Arial" w:eastAsia="Arial" w:hAnsi="Arial"/>
          <w:color w:val="333333"/>
          <w:sz w:val="22"/>
          <w:szCs w:val="22"/>
        </w:rPr>
        <w:t xml:space="preserve">Recording and playback of role plays and presentations for remote assessor review.</w:t>
      </w:r>
    </w:p>
    <w:p>
      <w:pPr>
        <w:pStyle w:val="ListParagraph"/>
        <w:numPr>
          <w:ilvl w:val="0"/>
          <w:numId w:val="2"/>
        </w:numPr>
        <w:spacing w:after="80"/>
      </w:pPr>
      <w:r>
        <w:rPr>
          <w:rFonts w:ascii="Arial" w:cs="Arial" w:eastAsia="Arial" w:hAnsi="Arial"/>
          <w:b/>
          <w:bCs/>
          <w:color w:val="1A3A6B"/>
          <w:sz w:val="22"/>
          <w:szCs w:val="22"/>
        </w:rPr>
        <w:t xml:space="preserve">Reporting Engine: </w:t>
      </w:r>
      <w:r>
        <w:rPr>
          <w:rFonts w:ascii="Arial" w:cs="Arial" w:eastAsia="Arial" w:hAnsi="Arial"/>
          <w:color w:val="333333"/>
          <w:sz w:val="22"/>
          <w:szCs w:val="22"/>
        </w:rPr>
        <w:t xml:space="preserve">Automated candidate report generation with competency profiles, development recommendations, and batch reporting for organizational-level talent reviews.</w:t>
      </w:r>
    </w:p>
    <w:p>
      <w:pPr>
        <w:pStyle w:val="ListParagraph"/>
        <w:numPr>
          <w:ilvl w:val="0"/>
          <w:numId w:val="2"/>
        </w:numPr>
        <w:spacing w:after="80"/>
      </w:pPr>
      <w:r>
        <w:rPr>
          <w:rFonts w:ascii="Arial" w:cs="Arial" w:eastAsia="Arial" w:hAnsi="Arial"/>
          <w:b/>
          <w:bCs/>
          <w:color w:val="1A3A6B"/>
          <w:sz w:val="22"/>
          <w:szCs w:val="22"/>
        </w:rPr>
        <w:t xml:space="preserve">Analytics Dashboard: </w:t>
      </w:r>
      <w:r>
        <w:rPr>
          <w:rFonts w:ascii="Arial" w:cs="Arial" w:eastAsia="Arial" w:hAnsi="Arial"/>
          <w:color w:val="333333"/>
          <w:sz w:val="22"/>
          <w:szCs w:val="22"/>
        </w:rPr>
        <w:t xml:space="preserve">Assessment quality metrics (inter-rater reliability, adverse impact analysis), volume tracking, and client portfolio management.</w:t>
      </w:r>
    </w:p>
    <w:p>
      <w:pPr>
        <w:pStyle w:val="Heading2"/>
      </w:pPr>
      <w:r>
        <w:t xml:space="preserve">9.3 Integration Requirements</w:t>
      </w:r>
    </w:p>
    <w:p>
      <w:pPr>
        <w:pStyle w:val="ListParagraph"/>
        <w:numPr>
          <w:ilvl w:val="0"/>
          <w:numId w:val="2"/>
        </w:numPr>
        <w:spacing w:after="80"/>
      </w:pPr>
      <w:r>
        <w:rPr>
          <w:rFonts w:ascii="Arial" w:cs="Arial" w:eastAsia="Arial" w:hAnsi="Arial"/>
          <w:b/>
          <w:bCs/>
          <w:color w:val="1A3A6B"/>
          <w:sz w:val="22"/>
          <w:szCs w:val="22"/>
        </w:rPr>
        <w:t xml:space="preserve">Psychometric Publisher APIs: </w:t>
      </w:r>
      <w:r>
        <w:rPr>
          <w:rFonts w:ascii="Arial" w:cs="Arial" w:eastAsia="Arial" w:hAnsi="Arial"/>
          <w:color w:val="333333"/>
          <w:sz w:val="22"/>
          <w:szCs w:val="22"/>
        </w:rPr>
        <w:t xml:space="preserve">Integration with SHL's TalentCentral (or equivalent) for seamless test delivery and score retrieval.</w:t>
      </w:r>
    </w:p>
    <w:p>
      <w:pPr>
        <w:pStyle w:val="ListParagraph"/>
        <w:numPr>
          <w:ilvl w:val="0"/>
          <w:numId w:val="2"/>
        </w:numPr>
        <w:spacing w:after="80"/>
      </w:pPr>
      <w:r>
        <w:rPr>
          <w:rFonts w:ascii="Arial" w:cs="Arial" w:eastAsia="Arial" w:hAnsi="Arial"/>
          <w:b/>
          <w:bCs/>
          <w:color w:val="1A3A6B"/>
          <w:sz w:val="22"/>
          <w:szCs w:val="22"/>
        </w:rPr>
        <w:t xml:space="preserve">Video Conferencing: </w:t>
      </w:r>
      <w:r>
        <w:rPr>
          <w:rFonts w:ascii="Arial" w:cs="Arial" w:eastAsia="Arial" w:hAnsi="Arial"/>
          <w:color w:val="333333"/>
          <w:sz w:val="22"/>
          <w:szCs w:val="22"/>
        </w:rPr>
        <w:t xml:space="preserve">Integration with Zoom/Teams for virtual assessment center delivery.</w:t>
      </w:r>
    </w:p>
    <w:p>
      <w:pPr>
        <w:pStyle w:val="ListParagraph"/>
        <w:numPr>
          <w:ilvl w:val="0"/>
          <w:numId w:val="2"/>
        </w:numPr>
        <w:spacing w:after="80"/>
      </w:pPr>
      <w:r>
        <w:rPr>
          <w:rFonts w:ascii="Arial" w:cs="Arial" w:eastAsia="Arial" w:hAnsi="Arial"/>
          <w:b/>
          <w:bCs/>
          <w:color w:val="1A3A6B"/>
          <w:sz w:val="22"/>
          <w:szCs w:val="22"/>
        </w:rPr>
        <w:t xml:space="preserve">Client HRIS: </w:t>
      </w:r>
      <w:r>
        <w:rPr>
          <w:rFonts w:ascii="Arial" w:cs="Arial" w:eastAsia="Arial" w:hAnsi="Arial"/>
          <w:color w:val="333333"/>
          <w:sz w:val="22"/>
          <w:szCs w:val="22"/>
        </w:rPr>
        <w:t xml:space="preserve">API connectors for major HRIS platforms (SAP SuccessFactors, Oracle HCM, Workday) to push assessment results into client talent management systems.</w:t>
      </w:r>
    </w:p>
    <w:p>
      <w:r>
        <w:br w:type="page"/>
      </w:r>
    </w:p>
    <w:p>
      <w:pPr>
        <w:pStyle w:val="Heading1"/>
      </w:pPr>
      <w:r>
        <w:t xml:space="preserve">10. Commercial Model</w:t>
      </w:r>
    </w:p>
    <w:p>
      <w:pPr>
        <w:pStyle w:val="Heading2"/>
      </w:pPr>
      <w:r>
        <w:t xml:space="preserve">10.1 Revenue Streams</w:t>
      </w:r>
    </w:p>
    <w:p>
      <w:pPr>
        <w:spacing w:after="160"/>
      </w:pPr>
      <w:r>
        <w:rPr>
          <w:rFonts w:ascii="Arial" w:cs="Arial" w:eastAsia="Arial" w:hAnsi="Arial"/>
          <w:color w:val="333333"/>
          <w:sz w:val="22"/>
          <w:szCs w:val="22"/>
        </w:rPr>
        <w:t xml:space="preserve">VIFM-AC will generate revenue through four primary streams: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 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Assessment Center Delivery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Full-service AC design, delivery, and reporting for client engagements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Per-candidate fee (tiered by seniority level and AC complexity)</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Psychometric Testing</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Licensed cognitive, personality, and SJT assessments for screening</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Per-test fee with volume discounts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Assessor Training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VIFM Assessor Certification Program for client internal assessors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Per-participant fee for open programs; fixed fee for in-house delivery</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Consulting &amp; Advisory</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Competency framework design, job analysis, AC program design for clients building internal capability</w:t>
            </w:r>
          </w:p>
        </w:tc>
        <w:tc>
          <w:tcPr>
            <w:tcW w:type="dxa" w:w="351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Day-rate or project-based fee</w:t>
            </w:r>
          </w:p>
        </w:tc>
      </w:tr>
    </w:tbl>
    <w:p>
      <w:pPr>
        <w:spacing w:after="80"/>
      </w:pPr>
    </w:p>
    <w:p>
      <w:pPr>
        <w:pStyle w:val="Heading2"/>
      </w:pPr>
      <w:r>
        <w:t xml:space="preserve">10.2 Indicative Pricing Tiers</w:t>
      </w:r>
    </w:p>
    <w:p>
      <w:pPr>
        <w:spacing w:after="160"/>
      </w:pPr>
      <w:r>
        <w:rPr>
          <w:rFonts w:ascii="Arial" w:cs="Arial" w:eastAsia="Arial" w:hAnsi="Arial"/>
          <w:color w:val="333333"/>
          <w:sz w:val="22"/>
          <w:szCs w:val="22"/>
        </w:rPr>
        <w:t xml:space="preserve">The following pricing tiers are indicative and will be calibrated to local market conditions. All prices are in USD.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Junior/Mid-Level</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Senior Manager</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C-Suite/Executive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Half-Day AC (per candidate)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$1,500 - $2,500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$3,000 - $5,000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Full-Day AC (per candidate)</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$2,500 - $4,000</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$5,000 - $8,000</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$10,000 - $18,000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Psychometric Battery (per candidate)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$200 - $400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$400 - $600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$600 - $1,000</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AC Design &amp; Setup (per project)</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$5,000 - $10,000</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$10,000 - $20,000</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$20,000 - $40,000</w:t>
            </w:r>
          </w:p>
        </w:tc>
      </w:tr>
    </w:tbl>
    <w:p>
      <w:pPr>
        <w:spacing w:after="80"/>
      </w:pPr>
    </w:p>
    <w:p>
      <w:pPr>
        <w:pStyle w:val="Heading2"/>
      </w:pPr>
      <w:r>
        <w:t xml:space="preserve">10.3 Go-to-Market Strategy</w:t>
      </w:r>
    </w:p>
    <w:p>
      <w:pPr>
        <w:pStyle w:val="ListParagraph"/>
        <w:numPr>
          <w:ilvl w:val="0"/>
          <w:numId w:val="2"/>
        </w:numPr>
        <w:spacing w:after="80"/>
      </w:pPr>
      <w:r>
        <w:rPr>
          <w:rFonts w:ascii="Arial" w:cs="Arial" w:eastAsia="Arial" w:hAnsi="Arial"/>
          <w:b/>
          <w:bCs/>
          <w:color w:val="1A3A6B"/>
          <w:sz w:val="22"/>
          <w:szCs w:val="22"/>
        </w:rPr>
        <w:t xml:space="preserve">Phase 1 - Existing Clients: </w:t>
      </w:r>
      <w:r>
        <w:rPr>
          <w:rFonts w:ascii="Arial" w:cs="Arial" w:eastAsia="Arial" w:hAnsi="Arial"/>
          <w:color w:val="333333"/>
          <w:sz w:val="22"/>
          <w:szCs w:val="22"/>
        </w:rPr>
        <w:t xml:space="preserve">Launch with 2-3 pilot engagements from VIFM's existing banking and government client base. Offer introductory pricing (20% below standard) in exchange for case study and testimonial rights.</w:t>
      </w:r>
    </w:p>
    <w:p>
      <w:pPr>
        <w:pStyle w:val="ListParagraph"/>
        <w:numPr>
          <w:ilvl w:val="0"/>
          <w:numId w:val="2"/>
        </w:numPr>
        <w:spacing w:after="80"/>
      </w:pPr>
      <w:r>
        <w:rPr>
          <w:rFonts w:ascii="Arial" w:cs="Arial" w:eastAsia="Arial" w:hAnsi="Arial"/>
          <w:b/>
          <w:bCs/>
          <w:color w:val="1A3A6B"/>
          <w:sz w:val="22"/>
          <w:szCs w:val="22"/>
        </w:rPr>
        <w:t xml:space="preserve">Phase 2 - Sector Penetration: </w:t>
      </w:r>
      <w:r>
        <w:rPr>
          <w:rFonts w:ascii="Arial" w:cs="Arial" w:eastAsia="Arial" w:hAnsi="Arial"/>
          <w:color w:val="333333"/>
          <w:sz w:val="22"/>
          <w:szCs w:val="22"/>
        </w:rPr>
        <w:t xml:space="preserve">Target GCC central banks, sovereign wealth funds, and government HR authorities with a focused sales effort leveraging VIFM's training relationships.</w:t>
      </w:r>
    </w:p>
    <w:p>
      <w:pPr>
        <w:pStyle w:val="ListParagraph"/>
        <w:numPr>
          <w:ilvl w:val="0"/>
          <w:numId w:val="2"/>
        </w:numPr>
        <w:spacing w:after="80"/>
      </w:pPr>
      <w:r>
        <w:rPr>
          <w:rFonts w:ascii="Arial" w:cs="Arial" w:eastAsia="Arial" w:hAnsi="Arial"/>
          <w:b/>
          <w:bCs/>
          <w:color w:val="1A3A6B"/>
          <w:sz w:val="22"/>
          <w:szCs w:val="22"/>
        </w:rPr>
        <w:t xml:space="preserve">Phase 3 - Market Expansion: </w:t>
      </w:r>
      <w:r>
        <w:rPr>
          <w:rFonts w:ascii="Arial" w:cs="Arial" w:eastAsia="Arial" w:hAnsi="Arial"/>
          <w:color w:val="333333"/>
          <w:sz w:val="22"/>
          <w:szCs w:val="22"/>
        </w:rPr>
        <w:t xml:space="preserve">Expand to corporate sector and new geographies (Oman, Qatar, Iraq). Develop channel partnerships with regional HR consulting firms.</w:t>
      </w:r>
    </w:p>
    <w:p>
      <w:r>
        <w:br w:type="page"/>
      </w:r>
    </w:p>
    <w:p>
      <w:pPr>
        <w:pStyle w:val="Heading1"/>
      </w:pPr>
      <w:r>
        <w:t xml:space="preserve">11. Implementation Roadmap</w:t>
      </w:r>
    </w:p>
    <w:p>
      <w:pPr>
        <w:pStyle w:val="Heading2"/>
      </w:pPr>
      <w:r>
        <w:t xml:space="preserve">11.1 Phase 1: Foundation (Months 1-4)</w:t>
      </w:r>
    </w:p>
    <w:p>
      <w:pPr>
        <w:pStyle w:val="ListParagraph"/>
        <w:numPr>
          <w:ilvl w:val="0"/>
          <w:numId w:val="6"/>
        </w:numPr>
        <w:spacing w:after="80"/>
      </w:pPr>
      <w:r>
        <w:rPr>
          <w:rFonts w:ascii="Arial" w:cs="Arial" w:eastAsia="Arial" w:hAnsi="Arial"/>
          <w:color w:val="333333"/>
          <w:sz w:val="22"/>
          <w:szCs w:val="22"/>
        </w:rPr>
        <w:t xml:space="preserve">Finalize VIFM-AC Competency Framework with Dr. Ahmad Arashi</w:t>
      </w:r>
    </w:p>
    <w:p>
      <w:pPr>
        <w:pStyle w:val="ListParagraph"/>
        <w:numPr>
          <w:ilvl w:val="0"/>
          <w:numId w:val="6"/>
        </w:numPr>
        <w:spacing w:after="80"/>
      </w:pPr>
      <w:r>
        <w:rPr>
          <w:rFonts w:ascii="Arial" w:cs="Arial" w:eastAsia="Arial" w:hAnsi="Arial"/>
          <w:color w:val="333333"/>
          <w:sz w:val="22"/>
          <w:szCs w:val="22"/>
        </w:rPr>
        <w:t xml:space="preserve">Negotiate licensing agreements with psychometric publishers (SHL/Hogan)</w:t>
      </w:r>
    </w:p>
    <w:p>
      <w:pPr>
        <w:pStyle w:val="ListParagraph"/>
        <w:numPr>
          <w:ilvl w:val="0"/>
          <w:numId w:val="6"/>
        </w:numPr>
        <w:spacing w:after="80"/>
      </w:pPr>
      <w:r>
        <w:rPr>
          <w:rFonts w:ascii="Arial" w:cs="Arial" w:eastAsia="Arial" w:hAnsi="Arial"/>
          <w:color w:val="333333"/>
          <w:sz w:val="22"/>
          <w:szCs w:val="22"/>
        </w:rPr>
        <w:t xml:space="preserve">Develop first exercise library: 2 in-basket exercises, 3 role play scenarios, 2 group exercises, 2 case studies, 1 presentation exercise</w:t>
      </w:r>
    </w:p>
    <w:p>
      <w:pPr>
        <w:pStyle w:val="ListParagraph"/>
        <w:numPr>
          <w:ilvl w:val="0"/>
          <w:numId w:val="6"/>
        </w:numPr>
        <w:spacing w:after="80"/>
      </w:pPr>
      <w:r>
        <w:rPr>
          <w:rFonts w:ascii="Arial" w:cs="Arial" w:eastAsia="Arial" w:hAnsi="Arial"/>
          <w:color w:val="333333"/>
          <w:sz w:val="22"/>
          <w:szCs w:val="22"/>
        </w:rPr>
        <w:t xml:space="preserve">Design and document the Assessor Packet (observation forms, rating scales, integration worksheets)</w:t>
      </w:r>
    </w:p>
    <w:p>
      <w:pPr>
        <w:pStyle w:val="ListParagraph"/>
        <w:numPr>
          <w:ilvl w:val="0"/>
          <w:numId w:val="6"/>
        </w:numPr>
        <w:spacing w:after="80"/>
      </w:pPr>
      <w:r>
        <w:rPr>
          <w:rFonts w:ascii="Arial" w:cs="Arial" w:eastAsia="Arial" w:hAnsi="Arial"/>
          <w:color w:val="333333"/>
          <w:sz w:val="22"/>
          <w:szCs w:val="22"/>
        </w:rPr>
        <w:t xml:space="preserve">Develop the VIFM Assessor Training curriculum and materials</w:t>
      </w:r>
    </w:p>
    <w:p>
      <w:pPr>
        <w:pStyle w:val="ListParagraph"/>
        <w:numPr>
          <w:ilvl w:val="0"/>
          <w:numId w:val="6"/>
        </w:numPr>
        <w:spacing w:after="80"/>
      </w:pPr>
      <w:r>
        <w:rPr>
          <w:rFonts w:ascii="Arial" w:cs="Arial" w:eastAsia="Arial" w:hAnsi="Arial"/>
          <w:color w:val="333333"/>
          <w:sz w:val="22"/>
          <w:szCs w:val="22"/>
        </w:rPr>
        <w:t xml:space="preserve">Build candidate report templates and automate report generation</w:t>
      </w:r>
    </w:p>
    <w:p>
      <w:pPr>
        <w:pStyle w:val="ListParagraph"/>
        <w:numPr>
          <w:ilvl w:val="0"/>
          <w:numId w:val="6"/>
        </w:numPr>
        <w:spacing w:after="80"/>
      </w:pPr>
      <w:r>
        <w:rPr>
          <w:rFonts w:ascii="Arial" w:cs="Arial" w:eastAsia="Arial" w:hAnsi="Arial"/>
          <w:color w:val="333333"/>
          <w:sz w:val="22"/>
          <w:szCs w:val="22"/>
        </w:rPr>
        <w:t xml:space="preserve">Set up the technology platform module within the existing VIFM assessment portal</w:t>
      </w:r>
    </w:p>
    <w:p>
      <w:pPr>
        <w:pStyle w:val="Heading2"/>
      </w:pPr>
      <w:r>
        <w:t xml:space="preserve">11.2 Phase 2: Pilot &amp; Validation (Months 5-8)</w:t>
      </w:r>
    </w:p>
    <w:p>
      <w:pPr>
        <w:pStyle w:val="ListParagraph"/>
        <w:numPr>
          <w:ilvl w:val="0"/>
          <w:numId w:val="7"/>
        </w:numPr>
        <w:spacing w:after="80"/>
      </w:pPr>
      <w:r>
        <w:rPr>
          <w:rFonts w:ascii="Arial" w:cs="Arial" w:eastAsia="Arial" w:hAnsi="Arial"/>
          <w:color w:val="333333"/>
          <w:sz w:val="22"/>
          <w:szCs w:val="22"/>
        </w:rPr>
        <w:t xml:space="preserve">Conduct internal pilot assessment center with VIFM staff (calibration and quality assurance)</w:t>
      </w:r>
    </w:p>
    <w:p>
      <w:pPr>
        <w:pStyle w:val="ListParagraph"/>
        <w:numPr>
          <w:ilvl w:val="0"/>
          <w:numId w:val="7"/>
        </w:numPr>
        <w:spacing w:after="80"/>
      </w:pPr>
      <w:r>
        <w:rPr>
          <w:rFonts w:ascii="Arial" w:cs="Arial" w:eastAsia="Arial" w:hAnsi="Arial"/>
          <w:color w:val="333333"/>
          <w:sz w:val="22"/>
          <w:szCs w:val="22"/>
        </w:rPr>
        <w:t xml:space="preserve">Train the first cohort of 8-10 assessors (Lead and Associate level)</w:t>
      </w:r>
    </w:p>
    <w:p>
      <w:pPr>
        <w:pStyle w:val="ListParagraph"/>
        <w:numPr>
          <w:ilvl w:val="0"/>
          <w:numId w:val="7"/>
        </w:numPr>
        <w:spacing w:after="80"/>
      </w:pPr>
      <w:r>
        <w:rPr>
          <w:rFonts w:ascii="Arial" w:cs="Arial" w:eastAsia="Arial" w:hAnsi="Arial"/>
          <w:color w:val="333333"/>
          <w:sz w:val="22"/>
          <w:szCs w:val="22"/>
        </w:rPr>
        <w:t xml:space="preserve">Deliver 2-3 pilot assessment centers with existing clients at introductory pricing</w:t>
      </w:r>
    </w:p>
    <w:p>
      <w:pPr>
        <w:pStyle w:val="ListParagraph"/>
        <w:numPr>
          <w:ilvl w:val="0"/>
          <w:numId w:val="7"/>
        </w:numPr>
        <w:spacing w:after="80"/>
      </w:pPr>
      <w:r>
        <w:rPr>
          <w:rFonts w:ascii="Arial" w:cs="Arial" w:eastAsia="Arial" w:hAnsi="Arial"/>
          <w:color w:val="333333"/>
          <w:sz w:val="22"/>
          <w:szCs w:val="22"/>
        </w:rPr>
        <w:t xml:space="preserve">Collect validity data and participant feedback for exercise refinement</w:t>
      </w:r>
    </w:p>
    <w:p>
      <w:pPr>
        <w:pStyle w:val="ListParagraph"/>
        <w:numPr>
          <w:ilvl w:val="0"/>
          <w:numId w:val="7"/>
        </w:numPr>
        <w:spacing w:after="80"/>
      </w:pPr>
      <w:r>
        <w:rPr>
          <w:rFonts w:ascii="Arial" w:cs="Arial" w:eastAsia="Arial" w:hAnsi="Arial"/>
          <w:color w:val="333333"/>
          <w:sz w:val="22"/>
          <w:szCs w:val="22"/>
        </w:rPr>
        <w:t xml:space="preserve">Develop marketing collateral: service brochure, sample reports, methodology white paper</w:t>
      </w:r>
    </w:p>
    <w:p>
      <w:pPr>
        <w:pStyle w:val="ListParagraph"/>
        <w:numPr>
          <w:ilvl w:val="0"/>
          <w:numId w:val="7"/>
        </w:numPr>
        <w:spacing w:after="80"/>
      </w:pPr>
      <w:r>
        <w:rPr>
          <w:rFonts w:ascii="Arial" w:cs="Arial" w:eastAsia="Arial" w:hAnsi="Arial"/>
          <w:color w:val="333333"/>
          <w:sz w:val="22"/>
          <w:szCs w:val="22"/>
        </w:rPr>
        <w:t xml:space="preserve">Begin developing Arabic versions of core exercise materials</w:t>
      </w:r>
    </w:p>
    <w:p>
      <w:pPr>
        <w:pStyle w:val="Heading2"/>
      </w:pPr>
      <w:r>
        <w:t xml:space="preserve">11.3 Phase 3: Scale &amp; Differentiation (Months 9-18)</w:t>
      </w:r>
    </w:p>
    <w:p>
      <w:pPr>
        <w:pStyle w:val="ListParagraph"/>
        <w:numPr>
          <w:ilvl w:val="0"/>
          <w:numId w:val="8"/>
        </w:numPr>
        <w:spacing w:after="80"/>
      </w:pPr>
      <w:r>
        <w:rPr>
          <w:rFonts w:ascii="Arial" w:cs="Arial" w:eastAsia="Arial" w:hAnsi="Arial"/>
          <w:color w:val="333333"/>
          <w:sz w:val="22"/>
          <w:szCs w:val="22"/>
        </w:rPr>
        <w:t xml:space="preserve">Expand exercise library to 20+ exercises across sectors and levels</w:t>
      </w:r>
    </w:p>
    <w:p>
      <w:pPr>
        <w:pStyle w:val="ListParagraph"/>
        <w:numPr>
          <w:ilvl w:val="0"/>
          <w:numId w:val="8"/>
        </w:numPr>
        <w:spacing w:after="80"/>
      </w:pPr>
      <w:r>
        <w:rPr>
          <w:rFonts w:ascii="Arial" w:cs="Arial" w:eastAsia="Arial" w:hAnsi="Arial"/>
          <w:color w:val="333333"/>
          <w:sz w:val="22"/>
          <w:szCs w:val="22"/>
        </w:rPr>
        <w:t xml:space="preserve">Launch VIFM Assessor Certification as a marketable training product</w:t>
      </w:r>
    </w:p>
    <w:p>
      <w:pPr>
        <w:pStyle w:val="ListParagraph"/>
        <w:numPr>
          <w:ilvl w:val="0"/>
          <w:numId w:val="8"/>
        </w:numPr>
        <w:spacing w:after="80"/>
      </w:pPr>
      <w:r>
        <w:rPr>
          <w:rFonts w:ascii="Arial" w:cs="Arial" w:eastAsia="Arial" w:hAnsi="Arial"/>
          <w:color w:val="333333"/>
          <w:sz w:val="22"/>
          <w:szCs w:val="22"/>
        </w:rPr>
        <w:t xml:space="preserve">Develop industry-specific assessment center packages (Banking AC, Government AC, Corporate AC)</w:t>
      </w:r>
    </w:p>
    <w:p>
      <w:pPr>
        <w:pStyle w:val="ListParagraph"/>
        <w:numPr>
          <w:ilvl w:val="0"/>
          <w:numId w:val="8"/>
        </w:numPr>
        <w:spacing w:after="80"/>
      </w:pPr>
      <w:r>
        <w:rPr>
          <w:rFonts w:ascii="Arial" w:cs="Arial" w:eastAsia="Arial" w:hAnsi="Arial"/>
          <w:color w:val="333333"/>
          <w:sz w:val="22"/>
          <w:szCs w:val="22"/>
        </w:rPr>
        <w:t xml:space="preserve">Build virtual assessment center capability and launch hybrid delivery model</w:t>
      </w:r>
    </w:p>
    <w:p>
      <w:pPr>
        <w:pStyle w:val="ListParagraph"/>
        <w:numPr>
          <w:ilvl w:val="0"/>
          <w:numId w:val="8"/>
        </w:numPr>
        <w:spacing w:after="80"/>
      </w:pPr>
      <w:r>
        <w:rPr>
          <w:rFonts w:ascii="Arial" w:cs="Arial" w:eastAsia="Arial" w:hAnsi="Arial"/>
          <w:color w:val="333333"/>
          <w:sz w:val="22"/>
          <w:szCs w:val="22"/>
        </w:rPr>
        <w:t xml:space="preserve">Establish partnerships with regional universities for assessor pipeline</w:t>
      </w:r>
    </w:p>
    <w:p>
      <w:pPr>
        <w:pStyle w:val="ListParagraph"/>
        <w:numPr>
          <w:ilvl w:val="0"/>
          <w:numId w:val="8"/>
        </w:numPr>
        <w:spacing w:after="80"/>
      </w:pPr>
      <w:r>
        <w:rPr>
          <w:rFonts w:ascii="Arial" w:cs="Arial" w:eastAsia="Arial" w:hAnsi="Arial"/>
          <w:color w:val="333333"/>
          <w:sz w:val="22"/>
          <w:szCs w:val="22"/>
        </w:rPr>
        <w:t xml:space="preserve">Pursue ISO 10667 certification for the VIFM-AC practice</w:t>
      </w:r>
    </w:p>
    <w:p>
      <w:pPr>
        <w:pStyle w:val="ListParagraph"/>
        <w:numPr>
          <w:ilvl w:val="0"/>
          <w:numId w:val="8"/>
        </w:numPr>
        <w:spacing w:after="80"/>
      </w:pPr>
      <w:r>
        <w:rPr>
          <w:rFonts w:ascii="Arial" w:cs="Arial" w:eastAsia="Arial" w:hAnsi="Arial"/>
          <w:color w:val="333333"/>
          <w:sz w:val="22"/>
          <w:szCs w:val="22"/>
        </w:rPr>
        <w:t xml:space="preserve">Target Year 1 revenue: 15-25 assessment center engagements generating $300,000-$600,000</w:t>
      </w:r>
    </w:p>
    <w:p>
      <w:pPr>
        <w:spacing w:after="80"/>
      </w:pPr>
    </w:p>
    <w:p>
      <w:pPr>
        <w:pStyle w:val="Heading2"/>
      </w:pPr>
      <w:r>
        <w:t xml:space="preserve">11.4 Success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 Target</w:t>
            </w:r>
          </w:p>
        </w:tc>
        <w:tc>
          <w:tcPr>
            <w:tcW w:type="dxa" w:w="312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 Target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Assessment Center Engagements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60-80</w:t>
            </w:r>
          </w:p>
        </w:tc>
      </w:tr>
      <w:tr>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Candidates Assessed</w:t>
            </w:r>
          </w:p>
        </w:tc>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150-300</w:t>
            </w:r>
          </w:p>
        </w:tc>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800-1,200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Revenue (USD)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$300K - $600K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$1.5M - $2.5M</w:t>
            </w:r>
          </w:p>
        </w:tc>
      </w:tr>
      <w:tr>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Client Satisfaction (NPS)</w:t>
            </w:r>
          </w:p>
        </w:tc>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&gt; 50</w:t>
            </w:r>
          </w:p>
        </w:tc>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&gt; 65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Inter-Rater Reliability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0.70 (ICC)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0.80 (ICC)</w:t>
            </w:r>
          </w:p>
        </w:tc>
      </w:tr>
      <w:tr>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Certified Assessors</w:t>
            </w:r>
          </w:p>
        </w:tc>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312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r>
              <w:rPr>
                <w:rFonts w:ascii="Arial" w:cs="Arial" w:eastAsia="Arial" w:hAnsi="Arial"/>
                <w:color w:val="333333"/>
                <w:sz w:val="20"/>
                <w:szCs w:val="20"/>
              </w:rPr>
              <w:t xml:space="preserve">25-30</w:t>
            </w:r>
          </w:p>
        </w:tc>
      </w:tr>
    </w:tbl>
    <w:p>
      <w:pPr>
        <w:spacing w:after="80"/>
      </w:pPr>
    </w:p>
    <w:p>
      <w:pPr>
        <w:pBdr>
          <w:top w:val="single" w:color="5391D5" w:sz="4" w:space="8"/>
        </w:pBdr>
        <w:spacing w:after="200" w:before="400"/>
      </w:pPr>
    </w:p>
    <w:p>
      <w:pPr>
        <w:spacing w:after="100"/>
        <w:jc w:val="center"/>
      </w:pPr>
      <w:r>
        <w:rPr>
          <w:rFonts w:ascii="Arial" w:cs="Arial" w:eastAsia="Arial" w:hAnsi="Arial"/>
          <w:b/>
          <w:bCs/>
          <w:color w:val="1A3A6B"/>
          <w:sz w:val="24"/>
          <w:szCs w:val="24"/>
        </w:rPr>
        <w:t xml:space="preserve">END OF BLUEPRINT DOCUMENT</w:t>
      </w:r>
    </w:p>
    <w:p>
      <w:pPr>
        <w:spacing w:after="100"/>
        <w:jc w:val="center"/>
      </w:pPr>
      <w:r>
        <w:rPr>
          <w:rFonts w:ascii="Arial" w:cs="Arial" w:eastAsia="Arial" w:hAnsi="Arial"/>
          <w:color w:val="666666"/>
          <w:sz w:val="22"/>
          <w:szCs w:val="22"/>
        </w:rPr>
        <w:t xml:space="preserve">Virginia Institute of Finance and Management (VIFM)</w:t>
      </w:r>
    </w:p>
    <w:p>
      <w:pPr>
        <w:spacing w:after="100"/>
        <w:jc w:val="center"/>
      </w:pPr>
      <w:r>
        <w:rPr>
          <w:rFonts w:ascii="Arial" w:cs="Arial" w:eastAsia="Arial" w:hAnsi="Arial"/>
          <w:color w:val="666666"/>
          <w:sz w:val="20"/>
          <w:szCs w:val="20"/>
        </w:rPr>
        <w:t xml:space="preserve">Version 1.0 | March 2026 | Confidential</w:t>
      </w:r>
    </w:p>
    <w:p>
      <w:r>
        <w:br w:type="page"/>
      </w:r>
    </w:p>
    <w:p>
      <w:pPr>
        <w:pStyle w:val="Heading1"/>
      </w:pPr>
      <w:r>
        <w:t xml:space="preserve">12. References and Standards</w:t>
      </w:r>
    </w:p>
    <w:p>
      <w:pPr>
        <w:spacing w:after="160"/>
      </w:pPr>
      <w:r>
        <w:rPr>
          <w:rFonts w:ascii="Arial" w:cs="Arial" w:eastAsia="Arial" w:hAnsi="Arial"/>
          <w:color w:val="333333"/>
          <w:sz w:val="22"/>
          <w:szCs w:val="22"/>
        </w:rPr>
        <w:t xml:space="preserve">This blueprint draws on the following authoritative sources:</w:t>
      </w:r>
    </w:p>
    <w:p>
      <w:pPr>
        <w:spacing w:after="80"/>
      </w:pPr>
    </w:p>
    <w:p>
      <w:pPr>
        <w:pStyle w:val="ListParagraph"/>
        <w:numPr>
          <w:ilvl w:val="0"/>
          <w:numId w:val="2"/>
        </w:numPr>
        <w:spacing w:after="80"/>
      </w:pPr>
      <w:r>
        <w:rPr>
          <w:rFonts w:ascii="Arial" w:cs="Arial" w:eastAsia="Arial" w:hAnsi="Arial"/>
          <w:color w:val="333333"/>
          <w:sz w:val="22"/>
          <w:szCs w:val="22"/>
        </w:rPr>
        <w:t xml:space="preserve">International Taskforce on Assessment Center Guidelines (2015). Guidelines and Ethical Considerations for Assessment Center Operations, 6th Edition. Journal of Management, 41(4).</w:t>
      </w:r>
    </w:p>
    <w:p>
      <w:pPr>
        <w:pStyle w:val="ListParagraph"/>
        <w:numPr>
          <w:ilvl w:val="0"/>
          <w:numId w:val="2"/>
        </w:numPr>
        <w:spacing w:after="80"/>
      </w:pPr>
      <w:r>
        <w:rPr>
          <w:rFonts w:ascii="Arial" w:cs="Arial" w:eastAsia="Arial" w:hAnsi="Arial"/>
          <w:color w:val="333333"/>
          <w:sz w:val="22"/>
          <w:szCs w:val="22"/>
        </w:rPr>
        <w:t xml:space="preserve">British Psychological Society (2022). Design, Implementation and Evaluation of Assessment and Development Centres. BPS Psychological Testing Centre.</w:t>
      </w:r>
    </w:p>
    <w:p>
      <w:pPr>
        <w:pStyle w:val="ListParagraph"/>
        <w:numPr>
          <w:ilvl w:val="0"/>
          <w:numId w:val="2"/>
        </w:numPr>
        <w:spacing w:after="80"/>
      </w:pPr>
      <w:r>
        <w:rPr>
          <w:rFonts w:ascii="Arial" w:cs="Arial" w:eastAsia="Arial" w:hAnsi="Arial"/>
          <w:color w:val="333333"/>
          <w:sz w:val="22"/>
          <w:szCs w:val="22"/>
        </w:rPr>
        <w:t xml:space="preserve">ISO 10667-1:2020 and ISO 10667-2:2020. Assessment of People in Work and Organizational Settings. International Organization for Standardization.</w:t>
      </w:r>
    </w:p>
    <w:p>
      <w:pPr>
        <w:pStyle w:val="ListParagraph"/>
        <w:numPr>
          <w:ilvl w:val="0"/>
          <w:numId w:val="2"/>
        </w:numPr>
        <w:spacing w:after="80"/>
      </w:pPr>
      <w:r>
        <w:rPr>
          <w:rFonts w:ascii="Arial" w:cs="Arial" w:eastAsia="Arial" w:hAnsi="Arial"/>
          <w:color w:val="333333"/>
          <w:sz w:val="22"/>
          <w:szCs w:val="22"/>
        </w:rPr>
        <w:t xml:space="preserve">Korn Ferry (2024). Leadership Architect Global Competency Framework: 38 Competencies, 12 Clusters, 4 Factors. Korn Ferry Institute.</w:t>
      </w:r>
    </w:p>
    <w:p>
      <w:pPr>
        <w:pStyle w:val="ListParagraph"/>
        <w:numPr>
          <w:ilvl w:val="0"/>
          <w:numId w:val="2"/>
        </w:numPr>
        <w:spacing w:after="80"/>
      </w:pPr>
      <w:r>
        <w:rPr>
          <w:rFonts w:ascii="Arial" w:cs="Arial" w:eastAsia="Arial" w:hAnsi="Arial"/>
          <w:color w:val="333333"/>
          <w:sz w:val="22"/>
          <w:szCs w:val="22"/>
        </w:rPr>
        <w:t xml:space="preserve">SHL (2024). Verify Interactive Cognitive Assessment Suite: Technical Manual and Normative Data. SHL Group.</w:t>
      </w:r>
    </w:p>
    <w:p>
      <w:pPr>
        <w:pStyle w:val="ListParagraph"/>
        <w:numPr>
          <w:ilvl w:val="0"/>
          <w:numId w:val="2"/>
        </w:numPr>
        <w:spacing w:after="80"/>
      </w:pPr>
      <w:r>
        <w:rPr>
          <w:rFonts w:ascii="Arial" w:cs="Arial" w:eastAsia="Arial" w:hAnsi="Arial"/>
          <w:color w:val="333333"/>
          <w:sz w:val="22"/>
          <w:szCs w:val="22"/>
        </w:rPr>
        <w:t xml:space="preserve">SHL (2024). Occupational Personality Questionnaire (OPQ32): Technical Manual, 2024 Revision.</w:t>
      </w:r>
    </w:p>
    <w:p>
      <w:pPr>
        <w:pStyle w:val="ListParagraph"/>
        <w:numPr>
          <w:ilvl w:val="0"/>
          <w:numId w:val="2"/>
        </w:numPr>
        <w:spacing w:after="80"/>
      </w:pPr>
      <w:r>
        <w:rPr>
          <w:rFonts w:ascii="Arial" w:cs="Arial" w:eastAsia="Arial" w:hAnsi="Arial"/>
          <w:color w:val="333333"/>
          <w:sz w:val="22"/>
          <w:szCs w:val="22"/>
        </w:rPr>
        <w:t xml:space="preserve">Thornton, G.C. III, Rupp, D.E., &amp; Hoffman, B.J. (2015). Assessment Center Perspectives for Talent Management Decisions. Routledge.</w:t>
      </w:r>
    </w:p>
    <w:p>
      <w:pPr>
        <w:pStyle w:val="ListParagraph"/>
        <w:numPr>
          <w:ilvl w:val="0"/>
          <w:numId w:val="2"/>
        </w:numPr>
        <w:spacing w:after="80"/>
      </w:pPr>
      <w:r>
        <w:rPr>
          <w:rFonts w:ascii="Arial" w:cs="Arial" w:eastAsia="Arial" w:hAnsi="Arial"/>
          <w:color w:val="333333"/>
          <w:sz w:val="22"/>
          <w:szCs w:val="22"/>
        </w:rPr>
        <w:t xml:space="preserve">U.S. Office of Personnel Management. Assessment Centers: Other Assessment Methods. OPM.gov.</w:t>
      </w:r>
    </w:p>
    <w:p>
      <w:pPr>
        <w:pStyle w:val="ListParagraph"/>
        <w:numPr>
          <w:ilvl w:val="0"/>
          <w:numId w:val="2"/>
        </w:numPr>
        <w:spacing w:after="80"/>
      </w:pPr>
      <w:r>
        <w:rPr>
          <w:rFonts w:ascii="Arial" w:cs="Arial" w:eastAsia="Arial" w:hAnsi="Arial"/>
          <w:color w:val="333333"/>
          <w:sz w:val="22"/>
          <w:szCs w:val="22"/>
        </w:rPr>
        <w:t xml:space="preserve">UAE Federal Decree-Law No. 45 of 2021 on the Protection of Personal Data.</w:t>
      </w:r>
    </w:p>
    <w:p>
      <w:pPr>
        <w:pStyle w:val="ListParagraph"/>
        <w:numPr>
          <w:ilvl w:val="0"/>
          <w:numId w:val="2"/>
        </w:numPr>
        <w:spacing w:after="80"/>
      </w:pPr>
      <w:r>
        <w:rPr>
          <w:rFonts w:ascii="Arial" w:cs="Arial" w:eastAsia="Arial" w:hAnsi="Arial"/>
          <w:color w:val="333333"/>
          <w:sz w:val="22"/>
          <w:szCs w:val="22"/>
        </w:rPr>
        <w:t xml:space="preserve">Saudi Arabia Personal Data Protection Law (PDPL), Royal Decree M/19,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91D5" w:sz="2" w:space="4"/>
      </w:pBdr>
    </w:pPr>
    <w:r>
      <w:rPr>
        <w:rFonts w:ascii="Arial" w:cs="Arial" w:eastAsia="Arial" w:hAnsi="Arial"/>
        <w:color w:val="666666"/>
        <w:sz w:val="16"/>
        <w:szCs w:val="16"/>
      </w:rPr>
      <w:t xml:space="preserve">VIFM | </w:t>
    </w:r>
    <w:r>
      <w:rPr>
        <w:rFonts w:ascii="Arial" w:cs="Arial" w:eastAsia="Arial" w:hAnsi="Arial"/>
        <w:color w:val="5391D5"/>
        <w:sz w:val="16"/>
        <w:szCs w:val="16"/>
      </w:rPr>
      <w:t xml:space="preserve">viftraining.com</w:t>
    </w:r>
    <w:r>
      <w:rPr>
        <w:rFonts w:ascii="Arial" w:cs="Arial" w:eastAsia="Arial" w:hAnsi="Arial"/>
        <w:color w:val="666666"/>
        <w:sz w:val="16"/>
        <w:szCs w:val="16"/>
      </w:rPr>
      <w:ptab w:alignment="right" w:relativeTo="margin" w:leader="none"/>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91D5" w:sz="2" w:space="4"/>
      </w:pBdr>
    </w:pPr>
    <w:r>
      <w:rPr>
        <w:rFonts w:ascii="Arial" w:cs="Arial" w:eastAsia="Arial" w:hAnsi="Arial"/>
        <w:i/>
        <w:iCs/>
        <w:color w:val="666666"/>
        <w:sz w:val="18"/>
        <w:szCs w:val="18"/>
      </w:rPr>
      <w:t xml:space="preserve">VIFM Assessment Center Framework Blueprint</w:t>
    </w:r>
    <w:r>
      <w:ptab w:alignment="right" w:relativeTo="margin" w:leader="none"/>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0131"/>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391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2026-03-30T17:26:41.009Z</dcterms:created>
  <dcterms:modified xsi:type="dcterms:W3CDTF">2026-03-30T17:26:41.010Z</dcterms:modified>
</cp:coreProperties>
</file>

<file path=docProps/custom.xml><?xml version="1.0" encoding="utf-8"?>
<Properties xmlns="http://schemas.openxmlformats.org/officeDocument/2006/custom-properties" xmlns:vt="http://schemas.openxmlformats.org/officeDocument/2006/docPropsVTypes"/>
</file>