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3.png" ContentType="image/png"/>
  <Override PartName="/word/media/rId51.png" ContentType="image/png"/>
  <Override PartName="/word/media/rId55.png" ContentType="image/png"/>
  <Override PartName="/word/media/rId61.png" ContentType="image/png"/>
  <Override PartName="/word/media/rId66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3" w:name="vifm-ai-readiness-compass--user-guide"/>
    <w:p>
      <w:pPr>
        <w:pStyle w:val="Heading1"/>
      </w:pPr>
      <w:r>
        <w:t xml:space="preserve">VIFM AI Readiness Compass — User Guide</w:t>
      </w:r>
    </w:p>
    <w:p>
      <w:pPr>
        <w:pStyle w:val="FirstParagraph"/>
      </w:pPr>
      <w:r>
        <w:t xml:space="preserve">A bilingual (EN / AR) diagnostic platform that measures how ready an organisation — or an individual — is to make AI work in the GCC context. Calibrated against UAE and Saudi regulatory frameworks, scored across 8 organisational pillars and 4 personal factors, and packaged in a board-grade bilingual PDF report.</w:t>
      </w:r>
    </w:p>
    <w:p>
      <w:pPr>
        <w:pStyle w:val="BodyText"/>
      </w:pPr>
      <w:r>
        <w:t xml:space="preserve">This guide walks through the full lifecycle for each role.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t-a-glance">
        <w:r>
          <w:rPr>
            <w:rStyle w:val="Hyperlink"/>
          </w:rPr>
          <w:t xml:space="preserve">At a glance</w:t>
        </w:r>
      </w:hyperlink>
    </w:p>
    <w:p>
      <w:pPr>
        <w:pStyle w:val="Compact"/>
        <w:numPr>
          <w:ilvl w:val="0"/>
          <w:numId w:val="1001"/>
        </w:numPr>
      </w:pPr>
      <w:hyperlink w:anchor="roadmaps">
        <w:r>
          <w:rPr>
            <w:rStyle w:val="Hyperlink"/>
          </w:rPr>
          <w:t xml:space="preserve">Roadmaps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journey for each role</w:t>
      </w:r>
    </w:p>
    <w:p>
      <w:pPr>
        <w:pStyle w:val="Compact"/>
        <w:numPr>
          <w:ilvl w:val="1"/>
          <w:numId w:val="1002"/>
        </w:numPr>
      </w:pPr>
      <w:hyperlink w:anchor="consultant-roadmap">
        <w:r>
          <w:rPr>
            <w:rStyle w:val="Hyperlink"/>
          </w:rPr>
          <w:t xml:space="preserve">Consultant roadmap</w:t>
        </w:r>
      </w:hyperlink>
    </w:p>
    <w:p>
      <w:pPr>
        <w:pStyle w:val="Compact"/>
        <w:numPr>
          <w:ilvl w:val="1"/>
          <w:numId w:val="1002"/>
        </w:numPr>
      </w:pPr>
      <w:hyperlink w:anchor="delegate-respondent-roadmap">
        <w:r>
          <w:rPr>
            <w:rStyle w:val="Hyperlink"/>
          </w:rPr>
          <w:t xml:space="preserve">Delegate (respondent) roadmap</w:t>
        </w:r>
      </w:hyperlink>
    </w:p>
    <w:p>
      <w:pPr>
        <w:pStyle w:val="Compact"/>
        <w:numPr>
          <w:ilvl w:val="1"/>
          <w:numId w:val="1002"/>
        </w:numPr>
      </w:pPr>
      <w:hyperlink w:anchor="client-roadmap">
        <w:r>
          <w:rPr>
            <w:rStyle w:val="Hyperlink"/>
          </w:rPr>
          <w:t xml:space="preserve">Client roadmap</w:t>
        </w:r>
      </w:hyperlink>
    </w:p>
    <w:p>
      <w:pPr>
        <w:pStyle w:val="Compact"/>
        <w:numPr>
          <w:ilvl w:val="0"/>
          <w:numId w:val="1001"/>
        </w:numPr>
      </w:pPr>
      <w:hyperlink w:anchor="detailed-walkthroughs">
        <w:r>
          <w:rPr>
            <w:rStyle w:val="Hyperlink"/>
          </w:rPr>
          <w:t xml:space="preserve">Detailed walkthroughs</w:t>
        </w:r>
      </w:hyperlink>
    </w:p>
    <w:p>
      <w:pPr>
        <w:pStyle w:val="Compact"/>
        <w:numPr>
          <w:ilvl w:val="1"/>
          <w:numId w:val="1003"/>
        </w:numPr>
      </w:pPr>
      <w:hyperlink w:anchor="Xe3bad849647ca01c819b85910ee5d0f98da580d">
        <w:r>
          <w:rPr>
            <w:rStyle w:val="Hyperlink"/>
          </w:rPr>
          <w:t xml:space="preserve">Consultant — running an organisational engagement</w:t>
        </w:r>
      </w:hyperlink>
    </w:p>
    <w:p>
      <w:pPr>
        <w:pStyle w:val="Compact"/>
        <w:numPr>
          <w:ilvl w:val="1"/>
          <w:numId w:val="1003"/>
        </w:numPr>
      </w:pPr>
      <w:hyperlink w:anchor="delegate--completing-a-respondent-survey">
        <w:r>
          <w:rPr>
            <w:rStyle w:val="Hyperlink"/>
          </w:rPr>
          <w:t xml:space="preserve">Delegate — completing a respondent survey</w:t>
        </w:r>
      </w:hyperlink>
    </w:p>
    <w:p>
      <w:pPr>
        <w:pStyle w:val="Compact"/>
        <w:numPr>
          <w:ilvl w:val="1"/>
          <w:numId w:val="1003"/>
        </w:numPr>
      </w:pPr>
      <w:hyperlink w:anchor="personal--taking-the-free-snapshot">
        <w:r>
          <w:rPr>
            <w:rStyle w:val="Hyperlink"/>
          </w:rPr>
          <w:t xml:space="preserve">Personal — taking the free snapshot</w:t>
        </w:r>
      </w:hyperlink>
    </w:p>
    <w:p>
      <w:pPr>
        <w:pStyle w:val="Compact"/>
        <w:numPr>
          <w:ilvl w:val="1"/>
          <w:numId w:val="1003"/>
        </w:numPr>
      </w:pPr>
      <w:hyperlink w:anchor="client--receiving-and-using-the-report">
        <w:r>
          <w:rPr>
            <w:rStyle w:val="Hyperlink"/>
          </w:rPr>
          <w:t xml:space="preserve">Client — receiving and using the report</w:t>
        </w:r>
      </w:hyperlink>
    </w:p>
    <w:p>
      <w:pPr>
        <w:pStyle w:val="Compact"/>
        <w:numPr>
          <w:ilvl w:val="0"/>
          <w:numId w:val="1001"/>
        </w:numPr>
      </w:pPr>
      <w:hyperlink w:anchor="admin-tasks">
        <w:r>
          <w:rPr>
            <w:rStyle w:val="Hyperlink"/>
          </w:rPr>
          <w:t xml:space="preserve">Admin tasks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curating the knowledge base</w:t>
      </w:r>
    </w:p>
    <w:p>
      <w:pPr>
        <w:pStyle w:val="Compact"/>
        <w:numPr>
          <w:ilvl w:val="0"/>
          <w:numId w:val="1001"/>
        </w:numPr>
      </w:pPr>
      <w:hyperlink w:anchor="reference">
        <w:r>
          <w:rPr>
            <w:rStyle w:val="Hyperlink"/>
          </w:rPr>
          <w:t xml:space="preserve">Reference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at-a-glance"/>
    <w:p>
      <w:pPr>
        <w:pStyle w:val="Heading2"/>
      </w:pPr>
      <w:r>
        <w:t xml:space="preserve">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uses it</w:t>
            </w:r>
          </w:p>
        </w:tc>
        <w:tc>
          <w:tcPr/>
          <w:p>
            <w:pPr>
              <w:pStyle w:val="Compact"/>
            </w:pPr>
            <w:r>
              <w:t xml:space="preserve">VIFM consultants (run engagements), respondents/delegates (answer the survey), client sponsors (read reports), admins (curate question bank, regulatory docs)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English + Gulf Arabic with full RTL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Stages</w:t>
            </w:r>
          </w:p>
        </w:tc>
        <w:tc>
          <w:tcPr/>
          <w:p>
            <w:pPr>
              <w:pStyle w:val="Compact"/>
            </w:pPr>
            <w:r>
              <w:t xml:space="preserve">Personal · Department · Division · 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1–5 maturity scale on 8 organisational pillars (Strategy, Data, Technology, Talent, Culture, Governance, Operations, Model Management) and 4 personal factors (AI Sense-Check, AI Working Practice, AI Collaboration, AI Adaptive Mindset)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Bilingual PDF report (8–60 pages depending on stage) + Personal Snapshot 1-page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 calibration</w:t>
            </w:r>
          </w:p>
        </w:tc>
        <w:tc>
          <w:tcPr/>
          <w:p>
            <w:pPr>
              <w:pStyle w:val="Compact"/>
            </w:pPr>
            <w:r>
              <w:t xml:space="preserve">UAE (PDPL, NCA ECC, etc.) · Saudi Arabia (SDAIA NDGF, DCAI, ADDA, Vision 2030, etc.) — 16 frameworks, 56 mapped requirements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Entry points: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/ara</w:t>
      </w:r>
      <w:r>
        <w:t xml:space="preserve"> </w:t>
      </w:r>
      <w:r>
        <w:t xml:space="preserve">— public landing page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/ara/engage</w:t>
      </w:r>
      <w:r>
        <w:t xml:space="preserve"> </w:t>
      </w:r>
      <w:r>
        <w:t xml:space="preserve">— sales pitch / stage comparison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/ara/personal/start</w:t>
      </w:r>
      <w:r>
        <w:t xml:space="preserve"> </w:t>
      </w:r>
      <w:r>
        <w:t xml:space="preserve">— free Personal Snapshot (anonymous, self-served)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/ara/consultant</w:t>
      </w:r>
      <w:r>
        <w:t xml:space="preserve"> </w:t>
      </w:r>
      <w:r>
        <w:t xml:space="preserve">— consultant dashboard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/ara/admin</w:t>
      </w:r>
      <w:r>
        <w:t xml:space="preserve"> </w:t>
      </w:r>
      <w:r>
        <w:t xml:space="preserve">— admin console (question bank, regulatory docs, retention)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/ara/respond/[token]</w:t>
      </w:r>
      <w:r>
        <w:t xml:space="preserve"> </w:t>
      </w:r>
      <w:r>
        <w:t xml:space="preserve">— respondent survey (token-gated, no account required)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RA landing page" title="" id="11" name="Picture"/>
            <a:graphic>
              <a:graphicData uri="http://schemas.openxmlformats.org/drawingml/2006/picture">
                <pic:pic>
                  <pic:nvPicPr>
                    <pic:cNvPr descr="images/ara/01-landing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Start w:id="21" w:name="roadmaps"/>
    <w:p>
      <w:pPr>
        <w:pStyle w:val="Heading2"/>
      </w:pPr>
      <w:r>
        <w:t xml:space="preserve">Roadmaps</w:t>
      </w:r>
    </w:p>
    <w:bookmarkStart w:id="15" w:name="consultant-roadmap"/>
    <w:p>
      <w:pPr>
        <w:pStyle w:val="Heading3"/>
      </w:pPr>
      <w:r>
        <w:t xml:space="preserve">Consultant roadmap</w:t>
      </w:r>
    </w:p>
    <w:p>
      <w:pPr>
        <w:pStyle w:val="FirstParagraph"/>
      </w:pPr>
      <w:r>
        <w:t xml:space="preserve">The end-to-end path for a VIFM consultant running an organisational AI Readiness engagement. From client intake to report delivery.</w:t>
      </w:r>
    </w:p>
    <w:p>
      <w:pPr>
        <w:pStyle w:val="BodyText"/>
      </w:pPr>
      <w:r>
        <w:t xml:space="preserve">![Roadmap diagram 1: A[Client intake</w:t>
      </w:r>
      <w:r>
        <w:t xml:space="preserve">brief + scope] --&gt; B</w:t>
      </w:r>
      <w:hyperlink r:id="rId14">
        <w:r>
          <w:rPr>
            <w:rStyle w:val="Hyperlink"/>
          </w:rPr>
          <w:t xml:space="preserve">Create organisation</w:t>
        </w:r>
        <w:r>
          <w:rPr>
            <w:rStyle w:val="Hyperlink"/>
          </w:rPr>
          <w:t xml:space="preserve">region · sector</w:t>
        </w:r>
      </w:hyperlink>
    </w:p>
    <w:p>
      <w:pPr>
        <w:pStyle w:val="BodyText"/>
      </w:pPr>
      <w:r>
        <w:rPr>
          <w:b/>
          <w:bCs/>
        </w:rPr>
        <w:t xml:space="preserve">Key checkpoints: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assessment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/ara/consultant/assessments/new</w:t>
            </w:r>
          </w:p>
        </w:tc>
        <w:tc>
          <w:tcPr/>
          <w:p>
            <w:pPr>
              <w:pStyle w:val="Compact"/>
            </w:pPr>
            <w:r>
              <w:t xml:space="preserve">2-step wizard. Stage drives pillar count, report length, fee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respondents</w:t>
            </w:r>
          </w:p>
        </w:tc>
        <w:tc>
          <w:tcPr/>
          <w:p>
            <w:pPr>
              <w:pStyle w:val="Compact"/>
            </w:pPr>
            <w:r>
              <w:t xml:space="preserve">Assessment detail ·</w:t>
            </w:r>
            <w:r>
              <w:t xml:space="preserve"> </w:t>
            </w:r>
            <w:r>
              <w:rPr>
                <w:i/>
                <w:iCs/>
              </w:rPr>
              <w:t xml:space="preserve">Respondents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Each respondent gets an</w:t>
            </w:r>
            <w:r>
              <w:t xml:space="preserve"> </w:t>
            </w:r>
            <w:r>
              <w:rPr>
                <w:rStyle w:val="VerbatimChar"/>
              </w:rPr>
              <w:t xml:space="preserve">access_token</w:t>
            </w:r>
            <w:r>
              <w:t xml:space="preserve"> </w:t>
            </w:r>
            <w:r>
              <w:t xml:space="preserve">URL — no account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invitations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Respondents</w:t>
            </w:r>
            <w:r>
              <w:t xml:space="preserve"> </w:t>
            </w:r>
            <w:r>
              <w:t xml:space="preserve">tab → "Send invitation"</w:t>
            </w:r>
          </w:p>
        </w:tc>
        <w:tc>
          <w:tcPr/>
          <w:p>
            <w:pPr>
              <w:pStyle w:val="Compact"/>
            </w:pPr>
            <w:r>
              <w:t xml:space="preserve">Bilingual EN/AR/bilingual email; sandbox redirects in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progress</w:t>
            </w:r>
          </w:p>
        </w:tc>
        <w:tc>
          <w:tcPr/>
          <w:p>
            <w:pPr>
              <w:pStyle w:val="Compact"/>
            </w:pPr>
            <w:r>
              <w:t xml:space="preserve">Assessment detail ·</w:t>
            </w:r>
            <w:r>
              <w:t xml:space="preserve"> </w:t>
            </w:r>
            <w:r>
              <w:rPr>
                <w:i/>
                <w:iCs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Per-respondent completion %, last seen, distortion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scores</w:t>
            </w:r>
          </w:p>
        </w:tc>
        <w:tc>
          <w:tcPr/>
          <w:p>
            <w:pPr>
              <w:pStyle w:val="Compact"/>
            </w:pPr>
            <w:r>
              <w:t xml:space="preserve">Assessment detail ·</w:t>
            </w:r>
            <w:r>
              <w:t xml:space="preserve"> </w:t>
            </w:r>
            <w:r>
              <w:rPr>
                <w:i/>
                <w:iCs/>
              </w:rPr>
              <w:t xml:space="preserve">Phase 2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Edit each pillar's validated score and add bilingual consultant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report</w:t>
            </w:r>
          </w:p>
        </w:tc>
        <w:tc>
          <w:tcPr/>
          <w:p>
            <w:pPr>
              <w:pStyle w:val="Compact"/>
            </w:pPr>
            <w:r>
              <w:t xml:space="preserve">"Generate PDF" button →</w:t>
            </w:r>
            <w:r>
              <w:t xml:space="preserve"> </w:t>
            </w:r>
            <w:r>
              <w:rPr>
                <w:rStyle w:val="VerbatimChar"/>
              </w:rPr>
              <w:t xml:space="preserve">/api/ara/reports/[id]/pdf?language=...</w:t>
            </w:r>
          </w:p>
        </w:tc>
        <w:tc>
          <w:tcPr/>
          <w:p>
            <w:pPr>
              <w:pStyle w:val="Compact"/>
            </w:pPr>
            <w:r>
              <w:t xml:space="preserve">Pick EN, AR, or side-by-side (Stage 3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reassessment</w:t>
            </w:r>
          </w:p>
        </w:tc>
        <w:tc>
          <w:tcPr/>
          <w:p>
            <w:pPr>
              <w:pStyle w:val="Compact"/>
            </w:pPr>
            <w:r>
              <w:t xml:space="preserve">Detail page → "Start reassessment"</w:t>
            </w:r>
          </w:p>
        </w:tc>
        <w:tc>
          <w:tcPr/>
          <w:p>
            <w:pPr>
              <w:pStyle w:val="Compact"/>
            </w:pPr>
            <w:r>
              <w:t xml:space="preserve">Copies design + opt-in respondent carry-over</w:t>
            </w:r>
          </w:p>
        </w:tc>
      </w:tr>
    </w:tbl>
    <w:bookmarkEnd w:id="15"/>
    <w:bookmarkStart w:id="17" w:name="delegate-respondent-roadmap"/>
    <w:p>
      <w:pPr>
        <w:pStyle w:val="Heading3"/>
      </w:pPr>
      <w:r>
        <w:t xml:space="preserve">Delegate (respondent) roadmap</w:t>
      </w:r>
    </w:p>
    <w:p>
      <w:pPr>
        <w:pStyle w:val="FirstParagraph"/>
      </w:pPr>
      <w:r>
        <w:t xml:space="preserve">The path for a person answering the survey — whether on behalf of an organisation (Mode B / C) or as a free Personal Snapshot (Mode A).</w:t>
      </w:r>
    </w:p>
    <w:p>
      <w:pPr>
        <w:pStyle w:val="BodyText"/>
      </w:pPr>
      <w:r>
        <w:t xml:space="preserve">![Roadmap diagram 2: A[Receive invitation</w:t>
      </w:r>
      <w:r>
        <w:t xml:space="preserve">email + token URL] --&gt; B</w:t>
      </w:r>
      <w:hyperlink r:id="rId16">
        <w:r>
          <w:rPr>
            <w:rStyle w:val="Hyperlink"/>
          </w:rPr>
          <w:t xml:space="preserve">Open survey</w:t>
        </w:r>
        <w:r>
          <w:rPr>
            <w:rStyle w:val="Hyperlink"/>
          </w:rPr>
          <w:t xml:space="preserve">/ara/respond/t</w:t>
        </w:r>
      </w:hyperlink>
    </w:p>
    <w:p>
      <w:pPr>
        <w:pStyle w:val="BodyText"/>
      </w:pPr>
      <w:r>
        <w:rPr>
          <w:b/>
          <w:bCs/>
        </w:rPr>
        <w:t xml:space="preserve">Three deployment modes for delegates: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Issued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Free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individual</w:t>
            </w:r>
            <w:r>
              <w:t xml:space="preserve"> </w:t>
            </w: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24 (6 / factor)</w:t>
            </w:r>
          </w:p>
        </w:tc>
        <w:tc>
          <w:tcPr/>
          <w:p>
            <w:pPr>
              <w:pStyle w:val="Compact"/>
            </w:pPr>
            <w:r>
              <w:t xml:space="preserve">Self-served at</w:t>
            </w:r>
            <w:r>
              <w:t xml:space="preserve"> </w:t>
            </w:r>
            <w:r>
              <w:rPr>
                <w:rStyle w:val="VerbatimChar"/>
              </w:rPr>
              <w:t xml:space="preserve">/ara/personal/start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Paid deep-dive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individual</w:t>
            </w:r>
            <w:r>
              <w:t xml:space="preserve"> </w:t>
            </w:r>
            <w:r>
              <w:t xml:space="preserve">deep-dive</w:t>
            </w:r>
          </w:p>
        </w:tc>
        <w:tc>
          <w:tcPr/>
          <w:p>
            <w:pPr>
              <w:pStyle w:val="Compact"/>
            </w:pPr>
            <w:r>
              <w:t xml:space="preserve">48 (12 / factor)</w:t>
            </w:r>
          </w:p>
        </w:tc>
        <w:tc>
          <w:tcPr/>
          <w:p>
            <w:pPr>
              <w:pStyle w:val="Compact"/>
            </w:pPr>
            <w:r>
              <w:t xml:space="preserve">Consultant at</w:t>
            </w:r>
            <w:r>
              <w:t xml:space="preserve"> </w:t>
            </w:r>
            <w:r>
              <w:rPr>
                <w:rStyle w:val="VerbatimChar"/>
              </w:rPr>
              <w:t xml:space="preserve">/ara/consultant/personal-deep-dive/new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Org-engagement layer</w:t>
            </w:r>
          </w:p>
        </w:tc>
        <w:tc>
          <w:tcPr/>
          <w:p>
            <w:pPr>
              <w:pStyle w:val="Compact"/>
            </w:pPr>
            <w:r>
              <w:t xml:space="preserve">dept/division/enterprise +</w:t>
            </w:r>
            <w:r>
              <w:t xml:space="preserve"> </w:t>
            </w:r>
            <w:r>
              <w:rPr>
                <w:rStyle w:val="VerbatimChar"/>
              </w:rPr>
              <w:t xml:space="preserve">include_individual_layer=true</w:t>
            </w:r>
          </w:p>
        </w:tc>
        <w:tc>
          <w:tcPr/>
          <w:p>
            <w:pPr>
              <w:pStyle w:val="Compact"/>
            </w:pPr>
            <w:r>
              <w:t xml:space="preserve">Pillars + 24 or 48 personal items</w:t>
            </w:r>
          </w:p>
        </w:tc>
        <w:tc>
          <w:tcPr/>
          <w:p>
            <w:pPr>
              <w:pStyle w:val="Compact"/>
            </w:pPr>
            <w:r>
              <w:t xml:space="preserve">Consultant on the org wizard</w:t>
            </w:r>
          </w:p>
        </w:tc>
      </w:tr>
    </w:tbl>
    <w:bookmarkEnd w:id="17"/>
    <w:bookmarkStart w:id="20" w:name="client-roadmap"/>
    <w:p>
      <w:pPr>
        <w:pStyle w:val="Heading3"/>
      </w:pPr>
      <w:r>
        <w:t xml:space="preserve">Client roadmap</w:t>
      </w:r>
    </w:p>
    <w:p>
      <w:pPr>
        <w:pStyle w:val="FirstParagraph"/>
      </w:pPr>
      <w:r>
        <w:t xml:space="preserve">The client-side path is intentionally small — VIFM controls report delivery to keep narrative integrity.</w:t>
      </w:r>
    </w:p>
    <w:p>
      <w:pPr>
        <w:pStyle w:val="BodyText"/>
      </w:pPr>
      <w:r>
        <w:t xml:space="preserve">![Roadmap diagram 3: A[Engage VIFM</w:t>
      </w:r>
      <w:r>
        <w:t xml:space="preserve">scope + commercials] --&gt; B</w:t>
      </w:r>
      <w:hyperlink r:id="rId18">
        <w:r>
          <w:rPr>
            <w:rStyle w:val="Hyperlink"/>
          </w:rPr>
          <w:t xml:space="preserve">Provide stakeholder list</w:t>
        </w:r>
        <w:r>
          <w:rPr>
            <w:rStyle w:val="Hyperlink"/>
          </w:rPr>
          <w:t xml:space="preserve">names</w:t>
        </w:r>
        <w:r>
          <w:rPr>
            <w:rStyle w:val="Hyperlink"/>
          </w:rPr>
          <w:t xml:space="preserve"> </w:t>
        </w:r>
      </w:hyperlink>
    </w:p>
    <w:p>
      <w:pPr>
        <w:pStyle w:val="BodyText"/>
      </w:pPr>
      <w:r>
        <w:rPr>
          <w:b/>
          <w:bCs/>
        </w:rPr>
        <w:t xml:space="preserve">What the client receives:</w:t>
      </w:r>
    </w:p>
    <w:p>
      <w:pPr>
        <w:pStyle w:val="Compact"/>
        <w:numPr>
          <w:ilvl w:val="0"/>
          <w:numId w:val="1005"/>
        </w:numPr>
      </w:pPr>
      <w:r>
        <w:t xml:space="preserve">Bilingual PDF report (8 pages Stage 1, 27 pages Stage 2, 27–60 pages Stage 3)</w:t>
      </w:r>
    </w:p>
    <w:p>
      <w:pPr>
        <w:pStyle w:val="Compact"/>
        <w:numPr>
          <w:ilvl w:val="0"/>
          <w:numId w:val="1005"/>
        </w:numPr>
      </w:pPr>
      <w:r>
        <w:t xml:space="preserve">Side-by-side EN/AR landscape format on Stage 3</w:t>
      </w:r>
    </w:p>
    <w:p>
      <w:pPr>
        <w:pStyle w:val="Compact"/>
        <w:numPr>
          <w:ilvl w:val="0"/>
          <w:numId w:val="1005"/>
        </w:numPr>
      </w:pPr>
      <w:r>
        <w:t xml:space="preserve">Optional walkthrough session led by the VIFM consultant</w:t>
      </w:r>
    </w:p>
    <w:p>
      <w:pPr>
        <w:pStyle w:val="Compact"/>
        <w:numPr>
          <w:ilvl w:val="0"/>
          <w:numId w:val="1005"/>
        </w:numPr>
      </w:pPr>
      <w:r>
        <w:t xml:space="preserve">Year-on-year reassessment package on Enterprise tier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There is no client-facing portal in the ARA module today.</w:t>
      </w:r>
      <w:r>
        <w:t xml:space="preserve"> </w:t>
      </w:r>
      <w:r>
        <w:t xml:space="preserve">The client receives the PDF directly. A self-service browse + quote portal is on the roadmap — see</w:t>
      </w:r>
      <w:r>
        <w:t xml:space="preserve"> </w:t>
      </w:r>
      <w:hyperlink r:id="rId19">
        <w:r>
          <w:rPr>
            <w:rStyle w:val="Hyperlink"/>
          </w:rPr>
          <w:t xml:space="preserve">post-parity-roadmap.md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73" w:name="detailed-walkthroughs"/>
    <w:p>
      <w:pPr>
        <w:pStyle w:val="Heading2"/>
      </w:pPr>
      <w:r>
        <w:t xml:space="preserve">Detailed walkthroughs</w:t>
      </w:r>
    </w:p>
    <w:bookmarkStart w:id="49" w:name="Xe3bad849647ca01c819b85910ee5d0f98da580d"/>
    <w:p>
      <w:pPr>
        <w:pStyle w:val="Heading3"/>
      </w:pPr>
      <w:r>
        <w:t xml:space="preserve">Consultant — running an organisational engagement</w:t>
      </w:r>
    </w:p>
    <w:bookmarkStart w:id="25" w:name="X3156898480a2f5c1120015b5901b73200960e9f"/>
    <w:p>
      <w:pPr>
        <w:pStyle w:val="Heading4"/>
      </w:pPr>
      <w:r>
        <w:t xml:space="preserve">1. Sign in to the consultant dashboard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/ara/consultant</w:t>
      </w:r>
      <w:r>
        <w:t xml:space="preserve">. This is the home for all your engagements. Personal-layer assessments (engagement_stage =</w:t>
      </w:r>
      <w:r>
        <w:t xml:space="preserve"> </w:t>
      </w:r>
      <w:r>
        <w:rPr>
          <w:rStyle w:val="VerbatimChar"/>
        </w:rPr>
        <w:t xml:space="preserve">individual</w:t>
      </w:r>
      <w:r>
        <w:t xml:space="preserve">) are filtered out — those live in their own panel near the bottom.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Consultant dashboard" title="" id="23" name="Picture"/>
            <a:graphic>
              <a:graphicData uri="http://schemas.openxmlformats.org/drawingml/2006/picture">
                <pic:pic>
                  <pic:nvPicPr>
                    <pic:cNvPr descr="images/ara/10-consultant-dashboar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you see here: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Active assessments</w:t>
      </w:r>
      <w:r>
        <w:t xml:space="preserve"> </w:t>
      </w:r>
      <w:r>
        <w:t xml:space="preserve">— drafts, in-progress, ready-to-validate, ready-to-publish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Personal snapshots — last 30 days</w:t>
      </w:r>
      <w:r>
        <w:t xml:space="preserve"> </w:t>
      </w:r>
      <w:r>
        <w:t xml:space="preserve">(panel) — separate from org engagements; shows snapshot vs deep-dive distinction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Quick actions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New assessment</w:t>
      </w:r>
      <w:r>
        <w:t xml:space="preserve">,</w:t>
      </w:r>
      <w:r>
        <w:t xml:space="preserve"> </w:t>
      </w:r>
      <w:r>
        <w:rPr>
          <w:i/>
          <w:iCs/>
        </w:rPr>
        <w:t xml:space="preserve">New deep-dive</w:t>
      </w:r>
      <w:r>
        <w:t xml:space="preserve">,</w:t>
      </w:r>
      <w:r>
        <w:t xml:space="preserve"> </w:t>
      </w:r>
      <w:r>
        <w:rPr>
          <w:i/>
          <w:iCs/>
        </w:rPr>
        <w:t xml:space="preserve">Year-on-year reassessment</w:t>
      </w:r>
    </w:p>
    <w:bookmarkEnd w:id="25"/>
    <w:bookmarkStart w:id="29" w:name="X1797e8a5d439449b5f06be32ec03856a3ad1b20"/>
    <w:p>
      <w:pPr>
        <w:pStyle w:val="Heading4"/>
      </w:pPr>
      <w:r>
        <w:t xml:space="preserve">2. Create the client organisation</w:t>
      </w:r>
    </w:p>
    <w:p>
      <w:pPr>
        <w:pStyle w:val="FirstParagraph"/>
      </w:pPr>
      <w:r>
        <w:t xml:space="preserve">Before creating an assessment you need an organisation record. Go to</w:t>
      </w:r>
      <w:r>
        <w:t xml:space="preserve"> </w:t>
      </w:r>
      <w:r>
        <w:rPr>
          <w:rStyle w:val="VerbatimChar"/>
        </w:rPr>
        <w:t xml:space="preserve">/ara/admin/organizations</w:t>
      </w:r>
      <w:r>
        <w:t xml:space="preserve">.</w:t>
      </w:r>
    </w:p>
    <w:p>
      <w:pPr>
        <w:pStyle w:val="BodyText"/>
      </w:pPr>
      <w:r>
        <w:t xml:space="preserve">Required fields: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(EN) — anonymisable for case studies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Name (AR)</w:t>
      </w:r>
      <w:r>
        <w:t xml:space="preserve"> </w:t>
      </w:r>
      <w:r>
        <w:t xml:space="preserve">— optional but recommended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uae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saudi</w:t>
      </w:r>
      <w:r>
        <w:t xml:space="preserve">. Drives which regulatory frameworks appear.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Sector</w:t>
      </w:r>
      <w:r>
        <w:t xml:space="preserve"> </w:t>
      </w:r>
      <w:r>
        <w:t xml:space="preserve">— banking · government · corporate · etc.</w:t>
      </w:r>
    </w:p>
    <w:p>
      <w:pPr>
        <w:pStyle w:val="BlockText"/>
      </w:pPr>
      <w:r>
        <w:t xml:space="preserve">⚠️ Region is locked once you start collecting respondent answers — set it correctly upfront.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Organisations list" title="" id="27" name="Picture"/>
            <a:graphic>
              <a:graphicData uri="http://schemas.openxmlformats.org/drawingml/2006/picture">
                <pic:pic>
                  <pic:nvPicPr>
                    <pic:cNvPr descr="images/ara/11-organisation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X7ee648aff2855f7a77ff6cccdf9492701efff08"/>
    <w:p>
      <w:pPr>
        <w:pStyle w:val="Heading4"/>
      </w:pPr>
      <w:r>
        <w:t xml:space="preserve">3. Create the assessment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i/>
          <w:iCs/>
        </w:rPr>
        <w:t xml:space="preserve">New assessment</w:t>
      </w:r>
      <w:r>
        <w:t xml:space="preserve"> </w:t>
      </w:r>
      <w:r>
        <w:t xml:space="preserve">from the consultant dashboard, or visit</w:t>
      </w:r>
      <w:r>
        <w:t xml:space="preserve"> </w:t>
      </w:r>
      <w:r>
        <w:rPr>
          <w:rStyle w:val="VerbatimChar"/>
        </w:rPr>
        <w:t xml:space="preserve">/ara/consultant/assessments/new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pick a stage: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w assessment, step 1 — pick a stage" title="" id="31" name="Picture"/>
            <a:graphic>
              <a:graphicData uri="http://schemas.openxmlformats.org/drawingml/2006/picture">
                <pic:pic>
                  <pic:nvPicPr>
                    <pic:cNvPr descr="images/ara/12-new-assessment-step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Personal is filtered out of this picker (it has its own self-served flow). Choose between Department / Division / Enterprise.</w:t>
      </w:r>
    </w:p>
    <w:p>
      <w:pPr>
        <w:pStyle w:val="BodyText"/>
      </w:pPr>
      <w:r>
        <w:t xml:space="preserve">Pre-packaged starter templates appear below the stage cards — picking one pre-fills stage, region, sector, and pillar weights.</w:t>
      </w:r>
    </w:p>
    <w:p>
      <w:pPr>
        <w:pStyle w:val="BodyText"/>
      </w:pPr>
      <w:r>
        <w:rPr>
          <w:b/>
          <w:bCs/>
        </w:rPr>
        <w:t xml:space="preserve">Step 2 — configure the assessment: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New assessment, step 2 — configure" title="" id="34" name="Picture"/>
            <a:graphic>
              <a:graphicData uri="http://schemas.openxmlformats.org/drawingml/2006/picture">
                <pic:pic>
                  <pic:nvPicPr>
                    <pic:cNvPr descr="images/ara/13-new-assessment-step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Key fields: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Organisation</w:t>
      </w:r>
      <w:r>
        <w:t xml:space="preserve"> </w:t>
      </w:r>
      <w:r>
        <w:t xml:space="preserve">— pick from dropdown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Region / Sector</w:t>
      </w:r>
      <w:r>
        <w:t xml:space="preserve"> </w:t>
      </w:r>
      <w:r>
        <w:t xml:space="preserve">— defaulted from the organisation; locked at creation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Default language</w:t>
      </w:r>
      <w:r>
        <w:t xml:space="preserve"> </w:t>
      </w:r>
      <w:r>
        <w:t xml:space="preserve">— what the respondent form opens in (they can still toggle)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Question bank version</w:t>
      </w:r>
      <w:r>
        <w:t xml:space="preserve"> </w:t>
      </w:r>
      <w:r>
        <w:t xml:space="preserve">— defaulted to the active version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Scope label</w:t>
      </w:r>
      <w:r>
        <w:t xml:space="preserve"> </w:t>
      </w:r>
      <w:r>
        <w:t xml:space="preserve">— required for Department/Division (e.g., "Risk Management"), optional for Enterprise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Include individual layer (Mode C)</w:t>
      </w:r>
      <w:r>
        <w:t xml:space="preserve"> </w:t>
      </w:r>
      <w:r>
        <w:t xml:space="preserve">— opt in to a per-respondent personal-readiness rollup alongside the org pillar items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 </w:t>
      </w:r>
      <w:r>
        <w:t xml:space="preserve">(24 personal items) or</w:t>
      </w:r>
      <w:r>
        <w:t xml:space="preserve"> </w:t>
      </w:r>
      <w:r>
        <w:rPr>
          <w:rStyle w:val="VerbatimChar"/>
        </w:rPr>
        <w:t xml:space="preserve">deep_dive</w:t>
      </w:r>
      <w:r>
        <w:t xml:space="preserve"> </w:t>
      </w:r>
      <w:r>
        <w:t xml:space="preserve">(48). Only relevant when individual layer is 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Sandbox</w:t>
      </w:r>
      <w:r>
        <w:t xml:space="preserve"> </w:t>
      </w:r>
      <w:r>
        <w:t xml:space="preserve">— toggle on for training/demo runs; protects real consultant dashboards from clutter</w:t>
      </w:r>
    </w:p>
    <w:bookmarkEnd w:id="36"/>
    <w:bookmarkStart w:id="40" w:name="X238c637e0b8d42186940147870da9c43fdf6bb4"/>
    <w:p>
      <w:pPr>
        <w:pStyle w:val="Heading4"/>
      </w:pPr>
      <w:r>
        <w:t xml:space="preserve">4. Add respondents</w:t>
      </w:r>
    </w:p>
    <w:p>
      <w:pPr>
        <w:pStyle w:val="FirstParagraph"/>
      </w:pPr>
      <w:r>
        <w:t xml:space="preserve">On the assessment detail page →</w:t>
      </w:r>
      <w:r>
        <w:t xml:space="preserve"> </w:t>
      </w:r>
      <w:r>
        <w:rPr>
          <w:i/>
          <w:iCs/>
        </w:rPr>
        <w:t xml:space="preserve">Respondents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For each respondent:</w:t>
      </w:r>
    </w:p>
    <w:p>
      <w:pPr>
        <w:pStyle w:val="Compact"/>
        <w:numPr>
          <w:ilvl w:val="0"/>
          <w:numId w:val="1009"/>
        </w:numPr>
      </w:pPr>
      <w:r>
        <w:t xml:space="preserve">Name (EN + AR)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</w:p>
    <w:p>
      <w:pPr>
        <w:pStyle w:val="Compact"/>
        <w:numPr>
          <w:ilvl w:val="0"/>
          <w:numId w:val="1009"/>
        </w:numPr>
      </w:pPr>
      <w:r>
        <w:t xml:space="preserve">Role (e.g., "CIO", "Head of Risk")</w:t>
      </w:r>
    </w:p>
    <w:p>
      <w:pPr>
        <w:pStyle w:val="Compact"/>
        <w:numPr>
          <w:ilvl w:val="0"/>
          <w:numId w:val="1009"/>
        </w:numPr>
      </w:pPr>
      <w:r>
        <w:t xml:space="preserve">Language preference (EN / AR)</w:t>
      </w:r>
    </w:p>
    <w:p>
      <w:pPr>
        <w:pStyle w:val="Compact"/>
        <w:numPr>
          <w:ilvl w:val="0"/>
          <w:numId w:val="1009"/>
        </w:numPr>
      </w:pPr>
      <w:r>
        <w:t xml:space="preserve">Pillar assignments — which of the 8 pillars they should answer for. Stage 1 has 4 in scope, Stage 2 has 6, Stage 3 has all 8.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Individual-only flag (Mode C)</w:t>
      </w:r>
      <w:r>
        <w:t xml:space="preserve"> </w:t>
      </w:r>
      <w:r>
        <w:t xml:space="preserve">— when ticked, the respondent skips the pillar items and only answers the 4-factor personal layer</w:t>
      </w:r>
    </w:p>
    <w:p>
      <w:pPr>
        <w:pStyle w:val="FirstParagraph"/>
      </w:pPr>
      <w:r>
        <w:t xml:space="preserve">CSV import is also supported — paste or upload</w:t>
      </w:r>
      <w:r>
        <w:t xml:space="preserve"> </w:t>
      </w:r>
      <w:r>
        <w:rPr>
          <w:rStyle w:val="VerbatimChar"/>
        </w:rPr>
        <w:t xml:space="preserve">name, email, role, language, pillar_assignments</w:t>
      </w:r>
      <w:r>
        <w:t xml:space="preserve"> </w:t>
      </w:r>
      <w:r>
        <w:t xml:space="preserve">and the wizard validates row by row.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espondents tab" title="" id="38" name="Picture"/>
            <a:graphic>
              <a:graphicData uri="http://schemas.openxmlformats.org/drawingml/2006/picture">
                <pic:pic>
                  <pic:nvPicPr>
                    <pic:cNvPr descr="images/ara/14-respondents-tab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X08d09da897f2c72a81c20511efb575ccdc09b8e"/>
    <w:p>
      <w:pPr>
        <w:pStyle w:val="Heading4"/>
      </w:pPr>
      <w:r>
        <w:t xml:space="preserve">5. Issue invitations</w:t>
      </w:r>
    </w:p>
    <w:p>
      <w:pPr>
        <w:pStyle w:val="FirstParagraph"/>
      </w:pPr>
      <w:r>
        <w:t xml:space="preserve">Tick the respondents you want to invite, click</w:t>
      </w:r>
      <w:r>
        <w:t xml:space="preserve"> </w:t>
      </w:r>
      <w:r>
        <w:rPr>
          <w:i/>
          <w:iCs/>
        </w:rPr>
        <w:t xml:space="preserve">Send invitations</w:t>
      </w:r>
      <w:r>
        <w:t xml:space="preserve">. The system:</w:t>
      </w:r>
    </w:p>
    <w:p>
      <w:pPr>
        <w:pStyle w:val="Compact"/>
        <w:numPr>
          <w:ilvl w:val="0"/>
          <w:numId w:val="1010"/>
        </w:numPr>
      </w:pPr>
      <w:r>
        <w:t xml:space="preserve">Generates a unique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for each</w:t>
      </w:r>
    </w:p>
    <w:p>
      <w:pPr>
        <w:pStyle w:val="Compact"/>
        <w:numPr>
          <w:ilvl w:val="0"/>
          <w:numId w:val="1010"/>
        </w:numPr>
      </w:pPr>
      <w:r>
        <w:t xml:space="preserve">Sends a bilingual email (EN / AR / side-by-side) via Microsoft Graph</w:t>
      </w:r>
    </w:p>
    <w:p>
      <w:pPr>
        <w:pStyle w:val="Compact"/>
        <w:numPr>
          <w:ilvl w:val="0"/>
          <w:numId w:val="1010"/>
        </w:numPr>
      </w:pPr>
      <w:r>
        <w:t xml:space="preserve">Logs the send to</w:t>
      </w:r>
      <w:r>
        <w:t xml:space="preserve"> </w:t>
      </w:r>
      <w:r>
        <w:rPr>
          <w:rStyle w:val="VerbatimChar"/>
        </w:rPr>
        <w:t xml:space="preserve">ara_email_log</w:t>
      </w:r>
      <w:r>
        <w:t xml:space="preserve"> </w:t>
      </w:r>
      <w:r>
        <w:t xml:space="preserve">for audit</w:t>
      </w:r>
    </w:p>
    <w:p>
      <w:pPr>
        <w:pStyle w:val="Compact"/>
        <w:numPr>
          <w:ilvl w:val="0"/>
          <w:numId w:val="1010"/>
        </w:numPr>
      </w:pPr>
      <w:r>
        <w:t xml:space="preserve">(In sandbox or when</w:t>
      </w:r>
      <w:r>
        <w:t xml:space="preserve"> </w:t>
      </w:r>
      <w:r>
        <w:rPr>
          <w:rStyle w:val="VerbatimChar"/>
        </w:rPr>
        <w:t xml:space="preserve">SANDBOX_EMAIL_REDIRECT</w:t>
      </w:r>
      <w:r>
        <w:t xml:space="preserve"> </w:t>
      </w:r>
      <w:r>
        <w:t xml:space="preserve">is set) routes to a single email for testing</w:t>
      </w:r>
    </w:p>
    <w:bookmarkEnd w:id="41"/>
    <w:bookmarkStart w:id="42" w:name="Xca0409433e106ddefbaac76560c213251b84c4a"/>
    <w:p>
      <w:pPr>
        <w:pStyle w:val="Heading4"/>
      </w:pPr>
      <w:r>
        <w:t xml:space="preserve">6. Monitor progress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Progress</w:t>
      </w:r>
      <w:r>
        <w:t xml:space="preserve"> </w:t>
      </w:r>
      <w:r>
        <w:t xml:space="preserve">panel on the detail page shows a per-respondent table:</w:t>
      </w:r>
    </w:p>
    <w:p>
      <w:pPr>
        <w:pStyle w:val="Compact"/>
        <w:numPr>
          <w:ilvl w:val="0"/>
          <w:numId w:val="1011"/>
        </w:numPr>
      </w:pPr>
      <w:r>
        <w:t xml:space="preserve">Status —</w:t>
      </w:r>
      <w:r>
        <w:t xml:space="preserve"> </w:t>
      </w:r>
      <w:r>
        <w:rPr>
          <w:rStyle w:val="VerbatimChar"/>
        </w:rPr>
        <w:t xml:space="preserve">not_started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11"/>
        </w:numPr>
      </w:pPr>
      <w:r>
        <w:t xml:space="preserve">% complete</w:t>
      </w:r>
    </w:p>
    <w:p>
      <w:pPr>
        <w:pStyle w:val="Compact"/>
        <w:numPr>
          <w:ilvl w:val="0"/>
          <w:numId w:val="1011"/>
        </w:numPr>
      </w:pPr>
      <w:r>
        <w:t xml:space="preserve">Last seen</w:t>
      </w:r>
    </w:p>
    <w:p>
      <w:pPr>
        <w:pStyle w:val="Compact"/>
        <w:numPr>
          <w:ilvl w:val="0"/>
          <w:numId w:val="1011"/>
        </w:numPr>
      </w:pPr>
      <w:r>
        <w:t xml:space="preserve">Distortion warnings — if a respondent's pattern looks like uniform-tap or speed-clicking, a flag appears here for the consultant to address</w:t>
      </w:r>
    </w:p>
    <w:bookmarkEnd w:id="42"/>
    <w:bookmarkStart w:id="46" w:name="X74f9d4fdf1180ebce52e5f35052e147ed22be11"/>
    <w:p>
      <w:pPr>
        <w:pStyle w:val="Heading4"/>
      </w:pPr>
      <w:r>
        <w:t xml:space="preserve">7. Phase 2 workshop (Stage 2 / 3 only)</w:t>
      </w:r>
    </w:p>
    <w:p>
      <w:pPr>
        <w:pStyle w:val="FirstParagraph"/>
      </w:pPr>
      <w:r>
        <w:t xml:space="preserve">For Division and Enterprise stages, after Layer 1 self-assessment is complete the consultant runs a Phase 2 validation workshop. This is the</w:t>
      </w:r>
      <w:r>
        <w:t xml:space="preserve"> </w:t>
      </w:r>
      <w:r>
        <w:rPr>
          <w:i/>
          <w:iCs/>
        </w:rPr>
        <w:t xml:space="preserve">Phase 2</w:t>
      </w:r>
      <w:r>
        <w:t xml:space="preserve"> </w:t>
      </w:r>
      <w:r>
        <w:t xml:space="preserve">tab on the assessment detail.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hase 2 tab — consultant validation" title="" id="44" name="Picture"/>
            <a:graphic>
              <a:graphicData uri="http://schemas.openxmlformats.org/drawingml/2006/picture">
                <pic:pic>
                  <pic:nvPicPr>
                    <pic:cNvPr descr="images/ara/16-phase2-tab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What's in this tab: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Layer 2 consultant guide questions</w:t>
      </w:r>
      <w:r>
        <w:t xml:space="preserve"> </w:t>
      </w:r>
      <w:r>
        <w:t xml:space="preserve">— bilingual probing questions per pillar to dig into the gap between perception (Layer 1) and observed reality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Validated scores</w:t>
      </w:r>
      <w:r>
        <w:t xml:space="preserve"> </w:t>
      </w:r>
      <w:r>
        <w:t xml:space="preserve">— for each pillar, edit the auto-scored maturity band based on workshop findings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Bilingual consultant notes</w:t>
      </w:r>
      <w:r>
        <w:t xml:space="preserve"> </w:t>
      </w:r>
      <w:r>
        <w:t xml:space="preserve">— write findings; if you write in EN the system translates to AR via Claude on save (you can edit the AR after)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Capability-building plan</w:t>
      </w:r>
      <w:r>
        <w:t xml:space="preserve"> </w:t>
      </w:r>
      <w:r>
        <w:t xml:space="preserve">— VIFM course recommender ranked by per-pillar gap × course relevance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Workforce readiness rollup card</w:t>
      </w:r>
      <w:r>
        <w:t xml:space="preserve"> </w:t>
      </w:r>
      <w:r>
        <w:t xml:space="preserve">— appears when Mode C is on; cohort overall + 4 factor cards + per-respondent breakdown table + a development-demand histogram (% of cohort below target per factor)</w:t>
      </w:r>
    </w:p>
    <w:bookmarkEnd w:id="46"/>
    <w:bookmarkStart w:id="47" w:name="Xcb0d74d9067e2c483920da48231d3eddcfb9a40"/>
    <w:p>
      <w:pPr>
        <w:pStyle w:val="Heading4"/>
      </w:pPr>
      <w:r>
        <w:t xml:space="preserve">8. Generate the PDF report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i/>
          <w:iCs/>
        </w:rPr>
        <w:t xml:space="preserve">Generate report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/api/ara/reports/[id]/pdf?language=en|ar|bilingual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English</w:t>
      </w:r>
      <w:r>
        <w:t xml:space="preserve"> </w:t>
      </w:r>
      <w:r>
        <w:t xml:space="preserve">— portrait, 8 pages (Stage 1) to 60 pages (Stage 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Arabic</w:t>
      </w:r>
      <w:r>
        <w:t xml:space="preserve"> </w:t>
      </w:r>
      <w:r>
        <w:t xml:space="preserve">— same layout, RTL, with proper Arabic shaping via Puppeteer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Side-by-side bilingual</w:t>
      </w:r>
      <w:r>
        <w:t xml:space="preserve"> </w:t>
      </w:r>
      <w:r>
        <w:t xml:space="preserve">— landscape, each page split EN | AR (Stage 3 only)</w:t>
      </w:r>
    </w:p>
    <w:p>
      <w:pPr>
        <w:pStyle w:val="FirstParagraph"/>
      </w:pPr>
      <w:r>
        <w:t xml:space="preserve">The Workforce AI Readiness section appears in the PDF when</w:t>
      </w:r>
      <w:r>
        <w:t xml:space="preserve"> </w:t>
      </w:r>
      <w:r>
        <w:rPr>
          <w:rStyle w:val="VerbatimChar"/>
        </w:rPr>
        <w:t xml:space="preserve">include_individual_layer=true</w:t>
      </w:r>
      <w:r>
        <w:t xml:space="preserve"> </w:t>
      </w:r>
      <w:r>
        <w:t xml:space="preserve">and respondents have answered.</w:t>
      </w:r>
    </w:p>
    <w:bookmarkEnd w:id="47"/>
    <w:bookmarkStart w:id="48" w:name="X894af64dc470e83c2ad844e0d6aebe691082899"/>
    <w:p>
      <w:pPr>
        <w:pStyle w:val="Heading4"/>
      </w:pPr>
      <w:r>
        <w:t xml:space="preserve">9. Deliver and re-engage</w:t>
      </w:r>
    </w:p>
    <w:p>
      <w:pPr>
        <w:pStyle w:val="FirstParagraph"/>
      </w:pPr>
      <w:r>
        <w:t xml:space="preserve">Once generated, the PDF stays attached to the assessment record (it survives even if the assessment is later archived — VIFM business records per retention §15.3). Deliver to the client out-of-band (email, secure file share).</w:t>
      </w:r>
    </w:p>
    <w:p>
      <w:pPr>
        <w:pStyle w:val="BodyText"/>
      </w:pPr>
      <w:r>
        <w:t xml:space="preserve">For year-on-year, on the assessment detail action rail click</w:t>
      </w:r>
      <w:r>
        <w:t xml:space="preserve"> </w:t>
      </w:r>
      <w:r>
        <w:rPr>
          <w:i/>
          <w:iCs/>
        </w:rPr>
        <w:t xml:space="preserve">Start reassessment</w:t>
      </w:r>
      <w:r>
        <w:t xml:space="preserve"> </w:t>
      </w:r>
      <w:r>
        <w:t xml:space="preserve">— copies the design (org, stage, weights, scope) into a new draft and gives you the option to carry over the same respondents (with fresh tokens). The new assessment links back via</w:t>
      </w:r>
      <w:r>
        <w:t xml:space="preserve"> </w:t>
      </w:r>
      <w:r>
        <w:rPr>
          <w:rStyle w:val="VerbatimChar"/>
        </w:rPr>
        <w:t xml:space="preserve">prior_assessment_id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0" w:name="delegate--completing-a-respondent-survey"/>
    <w:p>
      <w:pPr>
        <w:pStyle w:val="Heading3"/>
      </w:pPr>
      <w:r>
        <w:t xml:space="preserve">Delegate — completing a respondent survey</w:t>
      </w:r>
    </w:p>
    <w:bookmarkStart w:id="50" w:name="Xe1d52162a57c3217833c8437211aee9e49ca04d"/>
    <w:p>
      <w:pPr>
        <w:pStyle w:val="Heading4"/>
      </w:pPr>
      <w:r>
        <w:t xml:space="preserve">1. Receive the invitation</w:t>
      </w:r>
    </w:p>
    <w:p>
      <w:pPr>
        <w:pStyle w:val="FirstParagraph"/>
      </w:pPr>
      <w:r>
        <w:t xml:space="preserve">The respondent receives a bilingual email with a unique token URL. The link looks like</w:t>
      </w:r>
      <w:r>
        <w:t xml:space="preserve"> </w:t>
      </w:r>
      <w:r>
        <w:rPr>
          <w:rStyle w:val="VerbatimChar"/>
        </w:rPr>
        <w:t xml:space="preserve">https://your-tenant.vifm.ae/ara/respond/&lt;token&gt;</w:t>
      </w:r>
      <w:r>
        <w:t xml:space="preserve">. No account or login is needed — the token is the credential.</w:t>
      </w:r>
    </w:p>
    <w:bookmarkEnd w:id="50"/>
    <w:bookmarkStart w:id="54" w:name="X67409ea1fb0733b6edf14a15a79afbacc8bcf6b"/>
    <w:p>
      <w:pPr>
        <w:pStyle w:val="Heading4"/>
      </w:pPr>
      <w:r>
        <w:t xml:space="preserve">2. Open the survey</w:t>
      </w:r>
    </w:p>
    <w:p>
      <w:pPr>
        <w:pStyle w:val="FirstParagraph"/>
      </w:pPr>
      <w:r>
        <w:t xml:space="preserve">Clicking the link opens the respondent form. The first prompt asks for language preference (EN or AR), defaulted from what the consultant configured.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espondent welcome screen" title="" id="52" name="Picture"/>
            <a:graphic>
              <a:graphicData uri="http://schemas.openxmlformats.org/drawingml/2006/picture">
                <pic:pic>
                  <pic:nvPicPr>
                    <pic:cNvPr descr="images/ara/21-respondent-welcom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Xef69aec394c123712b88b918823481b5a5aa34d"/>
    <w:p>
      <w:pPr>
        <w:pStyle w:val="Heading4"/>
      </w:pPr>
      <w:r>
        <w:t xml:space="preserve">3. Answer the questions</w:t>
      </w:r>
    </w:p>
    <w:p>
      <w:pPr>
        <w:pStyle w:val="FirstParagraph"/>
      </w:pPr>
      <w:r>
        <w:t xml:space="preserve">The form serves Layer 1 questions for the pillars you were assigned, plus (if Mode C is on) the four-factor personal items.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espondent question — Likert scale" title="" id="56" name="Picture"/>
            <a:graphic>
              <a:graphicData uri="http://schemas.openxmlformats.org/drawingml/2006/picture">
                <pic:pic>
                  <pic:nvPicPr>
                    <pic:cNvPr descr="images/ara/22-respondent-ques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Features the respondent gets: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Auto-save</w:t>
      </w:r>
      <w:r>
        <w:t xml:space="preserve"> </w:t>
      </w:r>
      <w:r>
        <w:t xml:space="preserve">— every answer saves immediately. Close the tab and come back any time using the same link.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Offline detection</w:t>
      </w:r>
      <w:r>
        <w:t xml:space="preserve"> </w:t>
      </w:r>
      <w:r>
        <w:t xml:space="preserve">— if the network drops, a banner appears and the form caches answers locally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Language toggle</w:t>
      </w:r>
      <w:r>
        <w:t xml:space="preserve"> </w:t>
      </w:r>
      <w:r>
        <w:t xml:space="preserve">— switch EN ↔ AR mid-survey without losing progress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Supporting materials</w:t>
      </w:r>
      <w:r>
        <w:t xml:space="preserve"> </w:t>
      </w:r>
      <w:r>
        <w:t xml:space="preserve">— optional uploads per pillar (no size limit) for evidence (policies, training records, etc.)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AI use-case portfolio</w:t>
      </w:r>
      <w:r>
        <w:t xml:space="preserve"> </w:t>
      </w:r>
      <w:r>
        <w:t xml:space="preserve">— for Stage 2/3 respondents, list the AI initiatives currently in play</w:t>
      </w:r>
    </w:p>
    <w:bookmarkEnd w:id="58"/>
    <w:bookmarkStart w:id="59" w:name="Xeea749737292a7f3c4b0fdefdff4e39fc65aebf"/>
    <w:p>
      <w:pPr>
        <w:pStyle w:val="Heading4"/>
      </w:pPr>
      <w:r>
        <w:t xml:space="preserve">4. Submit</w:t>
      </w:r>
    </w:p>
    <w:p>
      <w:pPr>
        <w:pStyle w:val="FirstParagraph"/>
      </w:pPr>
      <w:r>
        <w:t xml:space="preserve">Once every required item is answered, the</w:t>
      </w:r>
      <w:r>
        <w:t xml:space="preserve"> </w:t>
      </w:r>
      <w:r>
        <w:rPr>
          <w:i/>
          <w:iCs/>
        </w:rPr>
        <w:t xml:space="preserve">Submit</w:t>
      </w:r>
      <w:r>
        <w:t xml:space="preserve"> </w:t>
      </w:r>
      <w:r>
        <w:t xml:space="preserve">button enables. After submission:</w:t>
      </w:r>
    </w:p>
    <w:p>
      <w:pPr>
        <w:pStyle w:val="Compact"/>
        <w:numPr>
          <w:ilvl w:val="0"/>
          <w:numId w:val="1015"/>
        </w:numPr>
      </w:pPr>
      <w:r>
        <w:t xml:space="preserve">The token still works for read-only access (you can re-open and download a copy if entitled)</w:t>
      </w:r>
    </w:p>
    <w:p>
      <w:pPr>
        <w:pStyle w:val="Compact"/>
        <w:numPr>
          <w:ilvl w:val="0"/>
          <w:numId w:val="1015"/>
        </w:numPr>
      </w:pPr>
      <w:r>
        <w:t xml:space="preserve">For Personal / Mode C respondents — a results email fires with a link to your personal snapshot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1" w:name="personal--taking-the-free-snapshot"/>
    <w:p>
      <w:pPr>
        <w:pStyle w:val="Heading3"/>
      </w:pPr>
      <w:r>
        <w:t xml:space="preserve">Personal — taking the free snapshot</w:t>
      </w:r>
    </w:p>
    <w:p>
      <w:pPr>
        <w:pStyle w:val="FirstParagraph"/>
      </w:pPr>
      <w:r>
        <w:t xml:space="preserve">The free Mode A path. Anonymous self-served at</w:t>
      </w:r>
      <w:r>
        <w:t xml:space="preserve"> </w:t>
      </w:r>
      <w:r>
        <w:rPr>
          <w:rStyle w:val="VerbatimChar"/>
        </w:rPr>
        <w:t xml:space="preserve">/ara/personal/start</w:t>
      </w:r>
      <w:r>
        <w:t xml:space="preserve">.</w:t>
      </w:r>
    </w:p>
    <w:bookmarkStart w:id="64" w:name="X6ceb29af22b0dd08aea4f4178fd6a288ccc4c1b"/>
    <w:p>
      <w:pPr>
        <w:pStyle w:val="Heading4"/>
      </w:pPr>
      <w:r>
        <w:t xml:space="preserve">1. Start the snapshot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rStyle w:val="VerbatimChar"/>
        </w:rPr>
        <w:t xml:space="preserve">/ara/personal/start</w:t>
      </w:r>
      <w:r>
        <w:t xml:space="preserve">. Enter your name + email (used only to email you the results link — no account is created).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sonal snapshot start" title="" id="62" name="Picture"/>
            <a:graphic>
              <a:graphicData uri="http://schemas.openxmlformats.org/drawingml/2006/picture">
                <pic:pic>
                  <pic:nvPicPr>
                    <pic:cNvPr descr="images/ara/30-personal-star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5" w:name="X5e690c7ec569b1bc0f281842099cc8bde55cb63"/>
    <w:p>
      <w:pPr>
        <w:pStyle w:val="Heading4"/>
      </w:pPr>
      <w:r>
        <w:t xml:space="preserve">2. Answer 24 four-factor items</w:t>
      </w:r>
    </w:p>
    <w:p>
      <w:pPr>
        <w:pStyle w:val="FirstParagraph"/>
      </w:pPr>
      <w:r>
        <w:t xml:space="preserve">The 24-item snapshot covers the four VIFM-native personal factors: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AI Sense-Check</w:t>
      </w:r>
      <w:r>
        <w:t xml:space="preserve"> </w:t>
      </w:r>
      <w:r>
        <w:t xml:space="preserve">(THINKING) — critical evaluation of AI output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AI Working Practice</w:t>
      </w:r>
      <w:r>
        <w:t xml:space="preserve"> </w:t>
      </w:r>
      <w:r>
        <w:t xml:space="preserve">(RESULTS) — hands-on use of AI in real work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AI Collaboration</w:t>
      </w:r>
      <w:r>
        <w:t xml:space="preserve"> </w:t>
      </w:r>
      <w:r>
        <w:t xml:space="preserve">(PEOPLE) — leading or supporting team adoption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AI Adaptive Mindset</w:t>
      </w:r>
      <w:r>
        <w:t xml:space="preserve"> </w:t>
      </w:r>
      <w:r>
        <w:t xml:space="preserve">(SELF) — curiosity, openness, responsible posture</w:t>
      </w:r>
    </w:p>
    <w:p>
      <w:pPr>
        <w:pStyle w:val="FirstParagraph"/>
      </w:pPr>
      <w:r>
        <w:t xml:space="preserve">Each item is a 5-point Likert ("Strongly disagree" → "Strongly agree"). Auto-saves on each answer.</w:t>
      </w:r>
    </w:p>
    <w:bookmarkEnd w:id="65"/>
    <w:bookmarkStart w:id="69" w:name="X698f9b08a50ba396e808b1d6e513b76db3d7bb9"/>
    <w:p>
      <w:pPr>
        <w:pStyle w:val="Heading4"/>
      </w:pPr>
      <w:r>
        <w:t xml:space="preserve">3. Receive results</w:t>
      </w:r>
    </w:p>
    <w:p>
      <w:pPr>
        <w:pStyle w:val="FirstParagraph"/>
      </w:pPr>
      <w:r>
        <w:t xml:space="preserve">On submission:</w:t>
      </w:r>
    </w:p>
    <w:p>
      <w:pPr>
        <w:pStyle w:val="Compact"/>
        <w:numPr>
          <w:ilvl w:val="0"/>
          <w:numId w:val="1017"/>
        </w:numPr>
      </w:pPr>
      <w:r>
        <w:t xml:space="preserve">An email fires with your unique results URL (</w:t>
      </w:r>
      <w:r>
        <w:rPr>
          <w:rStyle w:val="VerbatimChar"/>
        </w:rPr>
        <w:t xml:space="preserve">/ara/personal/results/&lt;token&gt;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The results page shows your overall score, maturity stage, per-factor breakdown, and recommended VIFM courses ranked by your lowest factors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Personal results page" title="" id="67" name="Picture"/>
            <a:graphic>
              <a:graphicData uri="http://schemas.openxmlformats.org/drawingml/2006/picture">
                <pic:pic>
                  <pic:nvPicPr>
                    <pic:cNvPr descr="images/ara/31-personal-result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results page surfaces: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Overall score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maturity stage badge</w:t>
      </w:r>
      <w:r>
        <w:t xml:space="preserve"> </w:t>
      </w:r>
      <w:r>
        <w:t xml:space="preserve">(Emerging / Practising / Embedded)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Per-factor cards</w:t>
      </w:r>
      <w:r>
        <w:t xml:space="preserve"> </w:t>
      </w:r>
      <w:r>
        <w:t xml:space="preserve">with score, tone (Strong/Developing/Opportunity), and a sharp behavioural description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Vs cohort delta pill</w:t>
      </w:r>
      <w:r>
        <w:t xml:space="preserve"> </w:t>
      </w:r>
      <w:r>
        <w:t xml:space="preserve">— when you're part of a Mode C engagement, shows your score vs the cohort peer mean (excludes self)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Recommended VIFM programmes</w:t>
      </w:r>
      <w:r>
        <w:t xml:space="preserve"> </w:t>
      </w:r>
      <w:r>
        <w:t xml:space="preserve">— ranked by</w:t>
      </w:r>
      <w:r>
        <w:t xml:space="preserve"> </w:t>
      </w:r>
      <w:r>
        <w:rPr>
          <w:rStyle w:val="VerbatimChar"/>
        </w:rPr>
        <w:t xml:space="preserve">gap × course relevance</w:t>
      </w:r>
      <w:r>
        <w:t xml:space="preserve"> </w:t>
      </w:r>
      <w:r>
        <w:t xml:space="preserve">× ★ HIGH FIT badge for high-confidence matches</w:t>
      </w:r>
    </w:p>
    <w:bookmarkEnd w:id="69"/>
    <w:bookmarkStart w:id="70" w:name="Xb9f8d8509ad1648785680333a86d97b967e5d6b"/>
    <w:p>
      <w:pPr>
        <w:pStyle w:val="Heading4"/>
      </w:pPr>
      <w:r>
        <w:t xml:space="preserve">4. Download the PDF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i/>
          <w:iCs/>
        </w:rPr>
        <w:t xml:space="preserve">Download PDF</w:t>
      </w:r>
      <w:r>
        <w:t xml:space="preserve"> </w:t>
      </w:r>
      <w:r>
        <w:t xml:space="preserve">on the results page →</w:t>
      </w:r>
      <w:r>
        <w:t xml:space="preserve"> </w:t>
      </w:r>
      <w:r>
        <w:rPr>
          <w:rStyle w:val="VerbatimChar"/>
        </w:rPr>
        <w:t xml:space="preserve">/api/ara/personal/&lt;token&gt;/pdf</w:t>
      </w:r>
      <w:r>
        <w:t xml:space="preserve">. One-page bilingual mini-report with your snapshot + course recs.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client--receiving-and-using-the-report"/>
    <w:p>
      <w:pPr>
        <w:pStyle w:val="Heading3"/>
      </w:pPr>
      <w:r>
        <w:t xml:space="preserve">Client — receiving and using the report</w:t>
      </w:r>
    </w:p>
    <w:p>
      <w:pPr>
        <w:pStyle w:val="FirstParagraph"/>
      </w:pPr>
      <w:r>
        <w:t xml:space="preserve">The client side is currently passive. The VIFM consultant delivers the bilingual PDF directly. Optional walkthrough session for Stage 2/3 engagements.</w:t>
      </w:r>
    </w:p>
    <w:p>
      <w:pPr>
        <w:pStyle w:val="BodyText"/>
      </w:pPr>
      <w:r>
        <w:t xml:space="preserve">The PDF includes:</w:t>
      </w:r>
    </w:p>
    <w:p>
      <w:pPr>
        <w:pStyle w:val="Compact"/>
        <w:numPr>
          <w:ilvl w:val="0"/>
          <w:numId w:val="1019"/>
        </w:numPr>
      </w:pPr>
      <w:r>
        <w:t xml:space="preserve">Cover with org name, stage, generation date</w:t>
      </w:r>
    </w:p>
    <w:p>
      <w:pPr>
        <w:pStyle w:val="Compact"/>
        <w:numPr>
          <w:ilvl w:val="0"/>
          <w:numId w:val="1019"/>
        </w:numPr>
      </w:pPr>
      <w:r>
        <w:t xml:space="preserve">Executive summary — overall maturity, top 3 strengths, top 3 gaps</w:t>
      </w:r>
    </w:p>
    <w:p>
      <w:pPr>
        <w:pStyle w:val="Compact"/>
        <w:numPr>
          <w:ilvl w:val="0"/>
          <w:numId w:val="1019"/>
        </w:numPr>
      </w:pPr>
      <w:r>
        <w:t xml:space="preserve">Per-pillar deep dives (one section per applicable pillar)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Gap heatmap</w:t>
      </w:r>
      <w:r>
        <w:t xml:space="preserve"> </w:t>
      </w:r>
      <w:r>
        <w:t xml:space="preserve">— visual matrix of gap severity × business impact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Investment priority matrix</w:t>
      </w:r>
      <w:r>
        <w:t xml:space="preserve"> </w:t>
      </w:r>
      <w:r>
        <w:t xml:space="preserve">— Stage 2/3 — quick-wins vs strategic-bets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12-month action roadmap</w:t>
      </w:r>
      <w:r>
        <w:t xml:space="preserve"> </w:t>
      </w:r>
      <w:r>
        <w:t xml:space="preserve">— gantt-style with owner, dependencies, target maturity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Compliance summary</w:t>
      </w:r>
      <w:r>
        <w:t xml:space="preserve"> </w:t>
      </w:r>
      <w:r>
        <w:t xml:space="preserve">— mapped against the UAE/Saudi regulatory frameworks in scope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Use-case portfolio review</w:t>
      </w:r>
      <w:r>
        <w:t xml:space="preserve"> </w:t>
      </w:r>
      <w:r>
        <w:t xml:space="preserve">— Stage 2/3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Workforce AI Readiness</w:t>
      </w:r>
      <w:r>
        <w:t xml:space="preserve"> </w:t>
      </w:r>
      <w:r>
        <w:t xml:space="preserve">— when Mode C is on; cohort + 4 factor table + tier badge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Year-on-year comparison</w:t>
      </w:r>
      <w:r>
        <w:t xml:space="preserve"> </w:t>
      </w:r>
      <w:r>
        <w:t xml:space="preserve">— Stage 3 reassessments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4" w:name="admin-tasks"/>
    <w:p>
      <w:pPr>
        <w:pStyle w:val="Heading2"/>
      </w:pPr>
      <w:r>
        <w:t xml:space="preserve">Admin tasks</w:t>
      </w:r>
    </w:p>
    <w:p>
      <w:pPr>
        <w:pStyle w:val="FirstParagraph"/>
      </w:pPr>
      <w:r>
        <w:t xml:space="preserve">The admin console at</w:t>
      </w:r>
      <w:r>
        <w:t xml:space="preserve"> </w:t>
      </w:r>
      <w:r>
        <w:rPr>
          <w:rStyle w:val="VerbatimChar"/>
        </w:rPr>
        <w:t xml:space="preserve">/ara/admin</w:t>
      </w:r>
      <w:r>
        <w:t xml:space="preserve"> </w:t>
      </w:r>
      <w:r>
        <w:t xml:space="preserve">is for VIFM staff who curate the knowledge base. Most consultants don't need to touch this.</w:t>
      </w:r>
    </w:p>
    <w:bookmarkStart w:id="77" w:name="question-bank-versions"/>
    <w:p>
      <w:pPr>
        <w:pStyle w:val="Heading3"/>
      </w:pPr>
      <w:r>
        <w:t xml:space="preserve">Question bank versions</w:t>
      </w:r>
    </w:p>
    <w:p>
      <w:pPr>
        <w:pStyle w:val="FirstParagraph"/>
      </w:pPr>
      <w:r>
        <w:rPr>
          <w:rStyle w:val="VerbatimChar"/>
        </w:rPr>
        <w:t xml:space="preserve">/ara/admin/questions</w:t>
      </w:r>
    </w:p>
    <w:p>
      <w:pPr>
        <w:pStyle w:val="Compact"/>
        <w:numPr>
          <w:ilvl w:val="0"/>
          <w:numId w:val="1020"/>
        </w:numPr>
      </w:pPr>
      <w:r>
        <w:t xml:space="preserve">One version active at a time (</w:t>
      </w:r>
      <w:r>
        <w:rPr>
          <w:rStyle w:val="VerbatimChar"/>
        </w:rPr>
        <w:t xml:space="preserve">is_active=true</w:t>
      </w:r>
      <w:r>
        <w:t xml:space="preserve">, enforced by partial unique index)</w:t>
      </w:r>
    </w:p>
    <w:p>
      <w:pPr>
        <w:pStyle w:val="Compact"/>
        <w:numPr>
          <w:ilvl w:val="0"/>
          <w:numId w:val="1020"/>
        </w:numPr>
      </w:pPr>
      <w:r>
        <w:t xml:space="preserve">Each version locks question-text/scoring at the time of an assessment so historical reports remain reproducible</w:t>
      </w:r>
    </w:p>
    <w:p>
      <w:pPr>
        <w:pStyle w:val="Compact"/>
        <w:numPr>
          <w:ilvl w:val="0"/>
          <w:numId w:val="1020"/>
        </w:numPr>
      </w:pPr>
      <w:r>
        <w:t xml:space="preserve">Version 1.1 is the current active production bank — 218 items (135 pillar + 24 snapshot personal + 32 deep-dive personal + 27 admin extensions)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Question bank versions" title="" id="75" name="Picture"/>
            <a:graphic>
              <a:graphicData uri="http://schemas.openxmlformats.org/drawingml/2006/picture">
                <pic:pic>
                  <pic:nvPicPr>
                    <pic:cNvPr descr="images/ara/40-admin-question-bank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81" w:name="X4b964784c55916b6adb52bdec8ed22b09765b1c"/>
    <w:p>
      <w:pPr>
        <w:pStyle w:val="Heading3"/>
      </w:pPr>
      <w:r>
        <w:t xml:space="preserve">Regulatory document upload + AI extraction</w:t>
      </w:r>
    </w:p>
    <w:p>
      <w:pPr>
        <w:pStyle w:val="FirstParagraph"/>
      </w:pPr>
      <w:r>
        <w:rPr>
          <w:rStyle w:val="VerbatimChar"/>
        </w:rPr>
        <w:t xml:space="preserve">/ara/admin/regulatory</w:t>
      </w:r>
    </w:p>
    <w:p>
      <w:pPr>
        <w:pStyle w:val="BodyText"/>
      </w:pPr>
      <w:r>
        <w:t xml:space="preserve">Upload a regulatory PDF (UAE PDPL, NCA ECC, etc.) and Claude reads it, extracts requirements, maps them to pillars, and stages them for review.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egulatory document import" title="" id="79" name="Picture"/>
            <a:graphic>
              <a:graphicData uri="http://schemas.openxmlformats.org/drawingml/2006/picture">
                <pic:pic>
                  <pic:nvPicPr>
                    <pic:cNvPr descr="images/ara/41-admin-regulatory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2" w:name="sandbox-cleanup"/>
    <w:p>
      <w:pPr>
        <w:pStyle w:val="Heading3"/>
      </w:pPr>
      <w:r>
        <w:t xml:space="preserve">Sandbox cleanup</w:t>
      </w:r>
    </w:p>
    <w:p>
      <w:pPr>
        <w:pStyle w:val="FirstParagraph"/>
      </w:pPr>
      <w:r>
        <w:rPr>
          <w:rStyle w:val="VerbatimChar"/>
        </w:rPr>
        <w:t xml:space="preserve">/ara/admin/sandbox</w:t>
      </w:r>
    </w:p>
    <w:p>
      <w:pPr>
        <w:pStyle w:val="BodyText"/>
      </w:pPr>
      <w:r>
        <w:t xml:space="preserve">Hard-delete every assessment marked</w:t>
      </w:r>
      <w:r>
        <w:t xml:space="preserve"> </w:t>
      </w:r>
      <w:r>
        <w:rPr>
          <w:rStyle w:val="VerbatimChar"/>
        </w:rPr>
        <w:t xml:space="preserve">is_sandbox=true</w:t>
      </w:r>
      <w:r>
        <w:t xml:space="preserve">. Confirmation phrase required ("DELETE SANDBOX DATA"). Useful after training sessions / demos.</w:t>
      </w:r>
    </w:p>
    <w:bookmarkEnd w:id="82"/>
    <w:bookmarkStart w:id="83" w:name="retention-purge"/>
    <w:p>
      <w:pPr>
        <w:pStyle w:val="Heading3"/>
      </w:pPr>
      <w:r>
        <w:t xml:space="preserve">Retention purge</w:t>
      </w:r>
    </w:p>
    <w:p>
      <w:pPr>
        <w:pStyle w:val="FirstParagraph"/>
      </w:pPr>
      <w:r>
        <w:rPr>
          <w:rStyle w:val="VerbatimChar"/>
        </w:rPr>
        <w:t xml:space="preserve">/ara/admin/retention</w:t>
      </w:r>
    </w:p>
    <w:p>
      <w:pPr>
        <w:pStyle w:val="BodyText"/>
      </w:pPr>
      <w:r>
        <w:t xml:space="preserve">Hard-delete archived assessments past the retention window (default 3 years). Generated reports are detached and survive — they're VIFM business records.</w:t>
      </w:r>
    </w:p>
    <w:p>
      <w:pPr>
        <w:pStyle w:val="BodyText"/>
      </w:pPr>
      <w:r>
        <w:t xml:space="preserve">A daily cron at</w:t>
      </w:r>
      <w:r>
        <w:t xml:space="preserve"> </w:t>
      </w:r>
      <w:r>
        <w:rPr>
          <w:rStyle w:val="VerbatimChar"/>
        </w:rPr>
        <w:t xml:space="preserve">/api/ara/admin/retention/cron</w:t>
      </w:r>
      <w:r>
        <w:t xml:space="preserve"> </w:t>
      </w:r>
      <w:r>
        <w:t xml:space="preserve">runs the same logic automatically (gated on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2" w:name="reference"/>
    <w:p>
      <w:pPr>
        <w:pStyle w:val="Heading2"/>
      </w:pPr>
      <w:r>
        <w:t xml:space="preserve">Reference</w:t>
      </w:r>
    </w:p>
    <w:bookmarkStart w:id="85" w:name="the-four-engagement-stages"/>
    <w:p>
      <w:pPr>
        <w:pStyle w:val="Heading3"/>
      </w:pPr>
      <w:r>
        <w:t xml:space="preserve">The four engagement stages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Pillars</w:t>
            </w:r>
          </w:p>
        </w:tc>
        <w:tc>
          <w:tcPr/>
          <w:p>
            <w:pPr>
              <w:pStyle w:val="Compact"/>
            </w:pPr>
            <w:r>
              <w:t xml:space="preserve">Stakeholders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</w:t>
            </w:r>
          </w:p>
        </w:tc>
        <w:tc>
          <w:tcPr/>
          <w:p>
            <w:pPr>
              <w:pStyle w:val="Compact"/>
            </w:pPr>
            <w:r>
              <w:t xml:space="preserve">4 personal factors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1-page bilingual snapshot</w:t>
            </w:r>
          </w:p>
        </w:tc>
        <w:tc>
          <w:tcPr/>
          <w:p>
            <w:pPr>
              <w:pStyle w:val="Compact"/>
            </w:pPr>
            <w:r>
              <w:t xml:space="preserve">Free, self-served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1 — Department</w:t>
            </w:r>
          </w:p>
        </w:tc>
        <w:tc>
          <w:tcPr/>
          <w:p>
            <w:pPr>
              <w:pStyle w:val="Compact"/>
            </w:pPr>
            <w:r>
              <w:t xml:space="preserve">4 of 8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8-page bilingual</w:t>
            </w:r>
          </w:p>
        </w:tc>
        <w:tc>
          <w:tcPr/>
          <w:p>
            <w:pPr>
              <w:pStyle w:val="Compact"/>
            </w:pPr>
            <w:r>
              <w:t xml:space="preserve">Complimentary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2 — Division</w:t>
            </w:r>
          </w:p>
        </w:tc>
        <w:tc>
          <w:tcPr/>
          <w:p>
            <w:pPr>
              <w:pStyle w:val="Compact"/>
            </w:pPr>
            <w:r>
              <w:t xml:space="preserve">6 of 8</w:t>
            </w:r>
          </w:p>
        </w:tc>
        <w:tc>
          <w:tcPr/>
          <w:p>
            <w:pPr>
              <w:pStyle w:val="Compact"/>
            </w:pPr>
            <w:r>
              <w:t xml:space="preserve">4–8</w:t>
            </w:r>
          </w:p>
        </w:tc>
        <w:tc>
          <w:tcPr/>
          <w:p>
            <w:pPr>
              <w:pStyle w:val="Compact"/>
            </w:pPr>
            <w:r>
              <w:t xml:space="preserve">27-page bilingual</w:t>
            </w:r>
          </w:p>
        </w:tc>
        <w:tc>
          <w:tcPr/>
          <w:p>
            <w:pPr>
              <w:pStyle w:val="Compact"/>
            </w:pPr>
            <w:r>
              <w:t xml:space="preserve">Fee-based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3 — Enterprise</w:t>
            </w:r>
          </w:p>
        </w:tc>
        <w:tc>
          <w:tcPr/>
          <w:p>
            <w:pPr>
              <w:pStyle w:val="Compact"/>
            </w:pPr>
            <w:r>
              <w:t xml:space="preserve">8 of 8</w:t>
            </w:r>
          </w:p>
        </w:tc>
        <w:tc>
          <w:tcPr/>
          <w:p>
            <w:pPr>
              <w:pStyle w:val="Compact"/>
            </w:pPr>
            <w:r>
              <w:t xml:space="preserve">8–15+</w:t>
            </w:r>
          </w:p>
        </w:tc>
        <w:tc>
          <w:tcPr/>
          <w:p>
            <w:pPr>
              <w:pStyle w:val="Compact"/>
            </w:pPr>
            <w:r>
              <w:t xml:space="preserve">27–60-page side-by-side</w:t>
            </w:r>
          </w:p>
        </w:tc>
        <w:tc>
          <w:tcPr/>
          <w:p>
            <w:pPr>
              <w:pStyle w:val="Compact"/>
            </w:pPr>
            <w:r>
              <w:t xml:space="preserve">Fee-based</w:t>
            </w:r>
          </w:p>
        </w:tc>
      </w:tr>
    </w:tbl>
    <w:bookmarkEnd w:id="85"/>
    <w:bookmarkStart w:id="86" w:name="the-eight-organisational-pillars"/>
    <w:p>
      <w:pPr>
        <w:pStyle w:val="Heading3"/>
      </w:pPr>
      <w:r>
        <w:t xml:space="preserve">The eight organisational pillars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AI vision, alignment to business goals, executive sponsorship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quality, accessibility, lineage, governance, sovereignty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Compute, MLOps platforms, integration, vendor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Talent</w:t>
            </w:r>
          </w:p>
        </w:tc>
        <w:tc>
          <w:tcPr/>
          <w:p>
            <w:pPr>
              <w:pStyle w:val="Compact"/>
            </w:pPr>
            <w:r>
              <w:t xml:space="preserve">Skills inventory, hiring, retention, training programmes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Culture</w:t>
            </w:r>
          </w:p>
        </w:tc>
        <w:tc>
          <w:tcPr/>
          <w:p>
            <w:pPr>
              <w:pStyle w:val="Compact"/>
            </w:pPr>
            <w:r>
              <w:t xml:space="preserve">Adoption mindset, change readiness, psychological safety with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Ethics, risk frameworks, model cards,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Day-to-day AI deployment patterns, incident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Management</w:t>
            </w:r>
          </w:p>
        </w:tc>
        <w:tc>
          <w:tcPr/>
          <w:p>
            <w:pPr>
              <w:pStyle w:val="Compact"/>
            </w:pPr>
            <w:r>
              <w:t xml:space="preserve">Version control, monitoring, retraining, drift detection</w:t>
            </w:r>
          </w:p>
        </w:tc>
      </w:tr>
    </w:tbl>
    <w:bookmarkEnd w:id="86"/>
    <w:bookmarkStart w:id="87" w:name="the-four-personal-factors"/>
    <w:p>
      <w:pPr>
        <w:pStyle w:val="Heading3"/>
      </w:pPr>
      <w:r>
        <w:t xml:space="preserve">The four personal factors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Sense-Check</w:t>
            </w:r>
          </w:p>
        </w:tc>
        <w:tc>
          <w:tcPr/>
          <w:p>
            <w:pPr>
              <w:pStyle w:val="Compact"/>
            </w:pPr>
            <w:r>
              <w:t xml:space="preserve">THINKING</w:t>
            </w:r>
          </w:p>
        </w:tc>
        <w:tc>
          <w:tcPr/>
          <w:p>
            <w:pPr>
              <w:pStyle w:val="Compact"/>
            </w:pPr>
            <w:r>
              <w:t xml:space="preserve">Critical evaluation of AI output, hallucination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Working Practice</w:t>
            </w:r>
          </w:p>
        </w:tc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Productive hands-on use of AI in real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Collaboration</w:t>
            </w:r>
          </w:p>
        </w:tc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Helping the team move with AI, shaping shared norms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Adaptive Mindset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Curiosity, openness to relearning, responsible posture</w:t>
            </w:r>
          </w:p>
        </w:tc>
      </w:tr>
    </w:tbl>
    <w:bookmarkEnd w:id="87"/>
    <w:bookmarkStart w:id="88" w:name="the-maturity-stage-narrative"/>
    <w:p>
      <w:pPr>
        <w:pStyle w:val="Heading3"/>
      </w:pPr>
      <w:r>
        <w:t xml:space="preserve">The maturity-stage narrative</w:t>
      </w:r>
    </w:p>
    <w:p>
      <w:pPr>
        <w:pStyle w:val="FirstParagraph"/>
      </w:pPr>
      <w:r>
        <w:t xml:space="preserve">Applied to a respondent's overall four-factor average: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Foundation-laying — early exposure, room to build core habits and judgment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3.0–3.99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Practising</w:t>
            </w:r>
          </w:p>
        </w:tc>
        <w:tc>
          <w:tcPr/>
          <w:p>
            <w:pPr>
              <w:pStyle w:val="Compact"/>
            </w:pPr>
            <w:r>
              <w:t xml:space="preserve">Building rhythm — using AI on real work, sharpening prompts and review habits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Operating fluently — AI is part of how you work, with confident judgment about when to lean on it</w:t>
            </w:r>
          </w:p>
        </w:tc>
      </w:tr>
    </w:tbl>
    <w:bookmarkEnd w:id="88"/>
    <w:bookmarkStart w:id="89" w:name="scoring-scale"/>
    <w:p>
      <w:pPr>
        <w:pStyle w:val="Heading3"/>
      </w:pPr>
      <w:r>
        <w:t xml:space="preserve">Scoring scale</w:t>
      </w:r>
    </w:p>
    <w:p>
      <w:pPr>
        <w:pStyle w:val="FirstParagraph"/>
      </w:pPr>
      <w:r>
        <w:t xml:space="preserve">Likert 1–5 across all factors and pillars: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Initial — ad-hoc, no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Developing — pockets of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Defined — documented, repeatable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Managed — measured, governed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Optimised — continuously improved</w:t>
            </w:r>
          </w:p>
        </w:tc>
      </w:tr>
    </w:tbl>
    <w:bookmarkEnd w:id="89"/>
    <w:bookmarkStart w:id="90" w:name="regulatory-frameworks-calibrated"/>
    <w:p>
      <w:pPr>
        <w:pStyle w:val="Heading3"/>
      </w:pPr>
      <w:r>
        <w:t xml:space="preserve">Regulatory frameworks calibrated</w:t>
      </w:r>
    </w:p>
    <w:p>
      <w:pPr>
        <w:pStyle w:val="FirstParagraph"/>
      </w:pPr>
      <w:r>
        <w:rPr>
          <w:b/>
          <w:bCs/>
        </w:rPr>
        <w:t xml:space="preserve">UAE (7):</w:t>
      </w:r>
      <w:r>
        <w:t xml:space="preserve"> </w:t>
      </w:r>
      <w:r>
        <w:t xml:space="preserve">PDPL · NCA ECC · DCAI · ADDA · UAE AI Strategy 2031 · NESA · TDRA AI Ethics</w:t>
      </w:r>
    </w:p>
    <w:p>
      <w:pPr>
        <w:pStyle w:val="BodyText"/>
      </w:pPr>
      <w:r>
        <w:rPr>
          <w:b/>
          <w:bCs/>
        </w:rPr>
        <w:t xml:space="preserve">Saudi Arabia (9):</w:t>
      </w:r>
      <w:r>
        <w:t xml:space="preserve"> </w:t>
      </w:r>
      <w:r>
        <w:t xml:space="preserve">SDAIA NDGF · NCA ECC · NDGA · DCAI Health · SDAIA AI Ethics · Vision 2030 · Cyber Security Framework · Cloud Computing Regulatory Framework · NDMO</w:t>
      </w:r>
    </w:p>
    <w:bookmarkEnd w:id="90"/>
    <w:bookmarkStart w:id="91" w:name="url-map"/>
    <w:p>
      <w:pPr>
        <w:pStyle w:val="Heading3"/>
      </w:pPr>
      <w:r>
        <w:t xml:space="preserve">URL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/ara/engage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Stage comparison + sales pitch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/ara/roadmap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Platform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/ara/personal/start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Free Mode A snapshot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/ara/personal/results/[token]</w:t>
            </w:r>
          </w:p>
        </w:tc>
        <w:tc>
          <w:tcPr/>
          <w:p>
            <w:pPr>
              <w:pStyle w:val="Compact"/>
            </w:pPr>
            <w:r>
              <w:t xml:space="preserve">Respondent</w:t>
            </w:r>
          </w:p>
        </w:tc>
        <w:tc>
          <w:tcPr/>
          <w:p>
            <w:pPr>
              <w:pStyle w:val="Compact"/>
            </w:pPr>
            <w:r>
              <w:t xml:space="preserve">Personal results + cohort delta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/api/ara/personal/[token]/pdf</w:t>
            </w:r>
          </w:p>
        </w:tc>
        <w:tc>
          <w:tcPr/>
          <w:p>
            <w:pPr>
              <w:pStyle w:val="Compact"/>
            </w:pPr>
            <w:r>
              <w:t xml:space="preserve">Respondent</w:t>
            </w:r>
          </w:p>
        </w:tc>
        <w:tc>
          <w:tcPr/>
          <w:p>
            <w:pPr>
              <w:pStyle w:val="Compact"/>
            </w:pPr>
            <w:r>
              <w:t xml:space="preserve">Personal snapshot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/ara/respond/[token]</w:t>
            </w:r>
          </w:p>
        </w:tc>
        <w:tc>
          <w:tcPr/>
          <w:p>
            <w:pPr>
              <w:pStyle w:val="Compact"/>
            </w:pPr>
            <w:r>
              <w:t xml:space="preserve">Respondent</w:t>
            </w:r>
          </w:p>
        </w:tc>
        <w:tc>
          <w:tcPr/>
          <w:p>
            <w:pPr>
              <w:pStyle w:val="Compact"/>
            </w:pPr>
            <w:r>
              <w:t xml:space="preserve">Survey form (token-gated)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/ara/consultant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/ara/consultant/assessments/new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New assessment wizard (org-side)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/ara/consultant/personal-deep-dive/new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New paid Mode B deep-dive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/ara/consultant/assessments/[id]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Assessment detail (Phase 2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/api/ara/reports/[id]/pdf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Bilingual PDF report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/ara/admin/questions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Bank version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/ara/admin/regulatory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Regulatory doc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/ara/admin/sandbox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Sandbox 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/ara/admin/retention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Retention purge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2026-04-29.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hyperlink" Id="rId14" Target="./images/ara/roadmap-1.png" TargetMode="External" /><Relationship Type="http://schemas.openxmlformats.org/officeDocument/2006/relationships/hyperlink" Id="rId16" Target="./images/ara/roadmap-2.png" TargetMode="External" /><Relationship Type="http://schemas.openxmlformats.org/officeDocument/2006/relationships/hyperlink" Id="rId18" Target="./images/ara/roadmap-3.png" TargetMode="External" /><Relationship Type="http://schemas.openxmlformats.org/officeDocument/2006/relationships/hyperlink" Id="rId19" Target="post-parity-road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/images/ara/roadmap-1.png" TargetMode="External" /><Relationship Type="http://schemas.openxmlformats.org/officeDocument/2006/relationships/hyperlink" Id="rId16" Target="./images/ara/roadmap-2.png" TargetMode="External" /><Relationship Type="http://schemas.openxmlformats.org/officeDocument/2006/relationships/hyperlink" Id="rId18" Target="./images/ara/roadmap-3.png" TargetMode="External" /><Relationship Type="http://schemas.openxmlformats.org/officeDocument/2006/relationships/hyperlink" Id="rId19" Target="post-parity-road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2026-04-29T11:09:31Z</dcterms:created>
  <dcterms:modified xsi:type="dcterms:W3CDTF">2026-04-29T11:09:31Z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