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5B6BFA"/>
          <w:spacing w:val="22"/>
          <w:sz w:val="18"/>
          <w:szCs w:val="18"/>
        </w:rPr>
        <w:t xml:space="preserve">TECHNOLOGY &amp; LEGAL — BUSINESS DEVELOPMENT DOCUMENT</w:t>
      </w:r>
    </w:p>
    <w:p>
      <w:pPr>
        <w:spacing w:after="60" w:before="220"/>
        <w:jc w:val="center"/>
      </w:pPr>
      <w:r>
        <w:rPr>
          <w:rFonts w:ascii="Georgia" w:cs="Georgia" w:eastAsia="Georgia" w:hAnsi="Georgia"/>
          <w:b/>
          <w:bCs/>
          <w:color w:val="0B0F1A"/>
          <w:sz w:val="40"/>
          <w:szCs w:val="40"/>
        </w:rPr>
        <w:t xml:space="preserve">DATA PRIVACY &amp; SECURITY POLICY</w:t>
      </w:r>
    </w:p>
    <w:p>
      <w:pPr>
        <w:spacing w:after="60"/>
        <w:jc w:val="center"/>
      </w:pPr>
      <w:r>
        <w:rPr>
          <w:rFonts w:ascii="Georgia" w:cs="Georgia" w:eastAsia="Georgia" w:hAnsi="Georgia"/>
          <w:b/>
          <w:bCs/>
          <w:color w:val="0B0F1A"/>
          <w:sz w:val="26"/>
          <w:szCs w:val="26"/>
        </w:rPr>
        <w:t xml:space="preserve">ACROSS ALL FOUR CLIENT DIVISIONS</w:t>
      </w:r>
    </w:p>
    <w:p>
      <w:pPr>
        <w:spacing w:after="380"/>
        <w:jc w:val="center"/>
      </w:pPr>
      <w:r>
        <w:rPr>
          <w:i/>
          <w:iCs/>
          <w:color w:val="34E0C9"/>
          <w:sz w:val="22"/>
          <w:szCs w:val="22"/>
        </w:rPr>
        <w:t xml:space="preserve">Z-GATE LTD  ·  Where Business Meets Technology</w:t>
      </w:r>
    </w:p>
    <w:tbl>
      <w:tblPr>
        <w:tblW w:type="dxa" w:w="10440"/>
        <w:jc w:val="center"/>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3132"/>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0B0F1A"/>
                <w:sz w:val="18"/>
                <w:szCs w:val="18"/>
              </w:rPr>
              <w:t xml:space="preserve">Applies To</w:t>
            </w:r>
          </w:p>
        </w:tc>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All Z-GATE client engagements handling personal or client data — Advisory, Academy, Tech, and Data</w:t>
            </w:r>
          </w:p>
        </w:tc>
      </w:tr>
      <w:tr>
        <w:tc>
          <w:tcPr>
            <w:tcW w:type="dxa" w:w="3132"/>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0B0F1A"/>
                <w:sz w:val="18"/>
                <w:szCs w:val="18"/>
              </w:rPr>
              <w:t xml:space="preserve">Legal Basis</w:t>
            </w:r>
          </w:p>
        </w:tc>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Law N° 058/2021 on the Protection of Personal Data and Privacy; Law N° 24/2016 governing ICT in Rwanda</w:t>
            </w:r>
          </w:p>
        </w:tc>
      </w:tr>
      <w:tr>
        <w:tc>
          <w:tcPr>
            <w:tcW w:type="dxa" w:w="3132"/>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0B0F1A"/>
                <w:sz w:val="18"/>
                <w:szCs w:val="18"/>
              </w:rPr>
              <w:t xml:space="preserve">Regulator</w:t>
            </w:r>
          </w:p>
        </w:tc>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National Cyber Security Authority (NCSA) / Data Protection Office (DPO)</w:t>
            </w:r>
          </w:p>
        </w:tc>
      </w:tr>
      <w:tr>
        <w:tc>
          <w:tcPr>
            <w:tcW w:type="dxa" w:w="3132"/>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0B0F1A"/>
                <w:sz w:val="18"/>
                <w:szCs w:val="18"/>
              </w:rPr>
              <w:t xml:space="preserve">Status</w:t>
            </w:r>
          </w:p>
        </w:tc>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Draft — pending Managing Director approval and NCSA registration</w:t>
            </w:r>
          </w:p>
        </w:tc>
      </w:tr>
      <w:tr>
        <w:tc>
          <w:tcPr>
            <w:tcW w:type="dxa" w:w="3132"/>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0B0F1A"/>
                <w:sz w:val="18"/>
                <w:szCs w:val="18"/>
              </w:rPr>
              <w:t xml:space="preserve">Date Issued</w:t>
            </w:r>
          </w:p>
        </w:tc>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27 August 2026</w:t>
            </w:r>
          </w:p>
        </w:tc>
      </w:tr>
    </w:tbl>
    <w:p>
      <w:pPr>
        <w:spacing w:before="300"/>
      </w:pPr>
    </w:p>
    <w:tbl>
      <w:tblPr>
        <w:tblW w:type="dxa" w:w="1044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tcW w:type="dxa" w:w="10440"/>
            <w:shd w:fill="FDEEEE" w:color="auto" w:val="clear"/>
            <w:tcMar>
              <w:top w:type="dxa" w:w="200"/>
              <w:left w:type="dxa" w:w="220"/>
              <w:bottom w:type="dxa" w:w="200"/>
              <w:right w:type="dxa" w:w="220"/>
            </w:tcMar>
          </w:tcPr>
          <w:p>
            <w:r>
              <w:rPr>
                <w:b/>
                <w:bCs/>
                <w:color w:val="C0392B"/>
                <w:sz w:val="18"/>
                <w:szCs w:val="18"/>
              </w:rPr>
              <w:t xml:space="preserve">IMPORTANT — TEMPLATE, NOT LEGAL OR SECURITY-AUDIT ADVICE</w:t>
            </w:r>
          </w:p>
          <w:p>
            <w:pPr>
              <w:spacing w:before="100"/>
            </w:pPr>
            <w:r>
              <w:rPr>
                <w:color w:val="5A2A2A"/>
                <w:sz w:val="17"/>
                <w:szCs w:val="17"/>
              </w:rPr>
              <w:t xml:space="preserve">This is a business template prepared for Z-GATE LTD's internal use, reflecting Law N° 058/2021 as generally reported. Before this policy is published to clients or relied on operationally, (1) confirm current requirements with the NCSA / Data Protection Office directly, (2) complete Z-GATE's own NCSA registration as a data controller and/or processor, and (3) have the policy reviewed by qualified Rwandan legal and IT-security counsel. This document is not a substitute for a technical security audit.</w:t>
            </w:r>
          </w:p>
        </w:tc>
      </w:tr>
    </w:tbl>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0B0F1A" w:color="auto" w:val="clear"/>
            <w:tcMar>
              <w:top w:type="dxa" w:w="260"/>
              <w:left w:type="dxa" w:w="260"/>
              <w:bottom w:type="dxa" w:w="260"/>
              <w:right w:type="dxa" w:w="260"/>
            </w:tcMar>
          </w:tcPr>
          <w:p>
            <w:r>
              <w:rPr>
                <w:b/>
                <w:bCs/>
                <w:color w:val="34E0C9"/>
                <w:spacing w:val="20"/>
                <w:sz w:val="20"/>
                <w:szCs w:val="20"/>
              </w:rPr>
              <w:t xml:space="preserve">PART 1</w:t>
            </w:r>
          </w:p>
          <w:p>
            <w:pPr>
              <w:spacing w:before="80"/>
            </w:pPr>
            <w:r>
              <w:rPr>
                <w:rFonts w:ascii="Georgia" w:cs="Georgia" w:eastAsia="Georgia" w:hAnsi="Georgia"/>
                <w:b/>
                <w:bCs/>
                <w:color w:val="FFFFFF"/>
                <w:sz w:val="32"/>
                <w:szCs w:val="32"/>
              </w:rPr>
              <w:t xml:space="preserve">Policy Framework</w:t>
            </w:r>
          </w:p>
        </w:tc>
      </w:tr>
    </w:tbl>
    <w:p>
      <w:pPr>
        <w:spacing w:after="100"/>
      </w:pPr>
    </w:p>
    <w:p>
      <w:pPr>
        <w:spacing w:after="120"/>
      </w:pPr>
      <w:r>
        <w:rPr>
          <w:color w:val="26282E"/>
          <w:sz w:val="19"/>
          <w:szCs w:val="19"/>
        </w:rPr>
        <w:t xml:space="preserve">This policy sets out how Z-GATE LTD collects, processes, stores, secures, and disposes of personal and client data across all four divisions, and the commitments Z-GATE makes to clients whose data it handles. It applies alongside the Data Protection &amp; Privacy clause (Clause 6) of Z-GATE's Client SLA and complements the Confidentiality clause (Clause 8) of Z-GATE's HR Policy Manual. Part 1 sets the common framework that binds every division; Part 2 adds the specific controls each division layers on top of it.</w:t>
      </w:r>
    </w:p>
    <w:p>
      <w:pPr>
        <w:pStyle w:val="Heading2"/>
        <w:spacing w:after="110" w:before="240"/>
      </w:pPr>
      <w:r>
        <w:rPr>
          <w:rFonts w:ascii="Georgia" w:cs="Georgia" w:eastAsia="Georgia" w:hAnsi="Georgia"/>
          <w:b/>
          <w:bCs/>
          <w:color w:val="5B6BFA"/>
          <w:sz w:val="23"/>
          <w:szCs w:val="23"/>
        </w:rPr>
        <w:t xml:space="preserve">Where Each Division's Data Sits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1879"/>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Division</w:t>
            </w:r>
          </w:p>
        </w:tc>
        <w:tc>
          <w:tcPr>
            <w:tcW w:type="dxa" w:w="4593"/>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Typical Data Handled</w:t>
            </w:r>
          </w:p>
        </w:tc>
        <w:tc>
          <w:tcPr>
            <w:tcW w:type="dxa" w:w="3967"/>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Highest Sensitivity</w:t>
            </w:r>
          </w:p>
        </w:tc>
      </w:tr>
      <w:tr>
        <w:tc>
          <w:tcPr>
            <w:tcW w:type="dxa" w:w="1879"/>
            <w:tcBorders>
              <w:top w:val="single" w:color="D9D9D9" w:sz="4"/>
              <w:left w:val="single" w:color="D9D9D9" w:sz="4"/>
              <w:bottom w:val="single" w:color="D9D9D9" w:sz="4"/>
              <w:right w:val="single" w:color="D9D9D9" w:sz="4"/>
            </w:tcBorders>
            <w:shd w:fill="C9A15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Advisory</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Financial records, National ID/TIN numbers, tax filings, bank details</w:t>
            </w:r>
          </w:p>
        </w:tc>
        <w:tc>
          <w:tcPr>
            <w:tcW w:type="dxa" w:w="396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High — financial + national ID data</w:t>
            </w:r>
          </w:p>
        </w:tc>
      </w:tr>
      <w:tr>
        <w:tc>
          <w:tcPr>
            <w:tcW w:type="dxa" w:w="1879"/>
            <w:tcBorders>
              <w:top w:val="single" w:color="D9D9D9" w:sz="4"/>
              <w:left w:val="single" w:color="D9D9D9" w:sz="4"/>
              <w:bottom w:val="single" w:color="D9D9D9" w:sz="4"/>
              <w:right w:val="single" w:color="D9D9D9" w:sz="4"/>
            </w:tcBorders>
            <w:shd w:fill="3FAE7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Academy</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Learner names, contact details, attendance, assessment results</w:t>
            </w:r>
          </w:p>
        </w:tc>
        <w:tc>
          <w:tcPr>
            <w:tcW w:type="dxa" w:w="396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Moderate — personal contact + performance data</w:t>
            </w:r>
          </w:p>
        </w:tc>
      </w:tr>
      <w:tr>
        <w:tc>
          <w:tcPr>
            <w:tcW w:type="dxa" w:w="1879"/>
            <w:tcBorders>
              <w:top w:val="single" w:color="D9D9D9" w:sz="4"/>
              <w:left w:val="single" w:color="D9D9D9" w:sz="4"/>
              <w:bottom w:val="single" w:color="D9D9D9" w:sz="4"/>
              <w:right w:val="single" w:color="D9D9D9" w:sz="4"/>
            </w:tcBorders>
            <w:shd w:fill="3F8CF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Tech</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Source code, credentials, hosted client systems and their data</w:t>
            </w:r>
          </w:p>
        </w:tc>
        <w:tc>
          <w:tcPr>
            <w:tcW w:type="dxa" w:w="396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High — system access + whatever data those systems hold</w:t>
            </w:r>
          </w:p>
        </w:tc>
      </w:tr>
      <w:tr>
        <w:tc>
          <w:tcPr>
            <w:tcW w:type="dxa" w:w="1879"/>
            <w:tcBorders>
              <w:top w:val="single" w:color="D9D9D9" w:sz="4"/>
              <w:left w:val="single" w:color="D9D9D9" w:sz="4"/>
              <w:bottom w:val="single" w:color="D9D9D9" w:sz="4"/>
              <w:right w:val="single" w:color="D9D9D9" w:sz="4"/>
            </w:tcBorders>
            <w:shd w:fill="A85C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Data</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Raw client datasets, processed records, reports and dashboards</w:t>
            </w:r>
          </w:p>
        </w:tc>
        <w:tc>
          <w:tcPr>
            <w:tcW w:type="dxa" w:w="396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High — volume and variety of raw client data</w:t>
            </w:r>
          </w:p>
        </w:tc>
      </w:tr>
    </w:tbl>
    <w:p>
      <w:pPr>
        <w:spacing w:after="80" w:before="220"/>
      </w:pPr>
      <w:r>
        <w:rPr>
          <w:rFonts w:ascii="Georgia" w:cs="Georgia" w:eastAsia="Georgia" w:hAnsi="Georgia"/>
          <w:b/>
          <w:bCs/>
          <w:color w:val="0B0F1A"/>
          <w:sz w:val="21"/>
          <w:szCs w:val="21"/>
        </w:rPr>
        <w:t xml:space="preserve">1. Purpose &amp; Scope</w:t>
      </w:r>
    </w:p>
    <w:p>
      <w:pPr>
        <w:pStyle w:val="ListParagraph"/>
        <w:numPr>
          <w:ilvl w:val="0"/>
          <w:numId w:val="1"/>
        </w:numPr>
        <w:spacing w:after="60"/>
      </w:pPr>
      <w:r>
        <w:rPr>
          <w:color w:val="26282E"/>
          <w:sz w:val="19"/>
          <w:szCs w:val="19"/>
        </w:rPr>
        <w:t xml:space="preserve">This policy governs all personal data and client data processed across Z-GATE's four divisions: Advisory (tax and financial records), Academy (learner records), Tech (systems, hosting, software), and Data (data entry, processing, reporting, business intelligence).</w:t>
      </w:r>
    </w:p>
    <w:p>
      <w:pPr>
        <w:pStyle w:val="ListParagraph"/>
        <w:numPr>
          <w:ilvl w:val="0"/>
          <w:numId w:val="1"/>
        </w:numPr>
        <w:spacing w:after="60"/>
      </w:pPr>
      <w:r>
        <w:rPr>
          <w:color w:val="26282E"/>
          <w:sz w:val="19"/>
          <w:szCs w:val="19"/>
        </w:rPr>
        <w:t xml:space="preserve">It applies to Z-GATE staff, contractors, and any sub-processor engaged to deliver services in any division.</w:t>
      </w:r>
    </w:p>
    <w:p>
      <w:pPr>
        <w:spacing w:after="80" w:before="220"/>
      </w:pPr>
      <w:r>
        <w:rPr>
          <w:rFonts w:ascii="Georgia" w:cs="Georgia" w:eastAsia="Georgia" w:hAnsi="Georgia"/>
          <w:b/>
          <w:bCs/>
          <w:color w:val="0B0F1A"/>
          <w:sz w:val="21"/>
          <w:szCs w:val="21"/>
        </w:rPr>
        <w:t xml:space="preserve">2. Roles &amp; Responsibilities</w:t>
      </w:r>
    </w:p>
    <w:p>
      <w:pPr>
        <w:pStyle w:val="ListParagraph"/>
        <w:numPr>
          <w:ilvl w:val="0"/>
          <w:numId w:val="1"/>
        </w:numPr>
        <w:spacing w:after="60"/>
      </w:pPr>
      <w:r>
        <w:rPr>
          <w:color w:val="26282E"/>
          <w:sz w:val="19"/>
          <w:szCs w:val="19"/>
        </w:rPr>
        <w:t xml:space="preserve">For each client engagement, the Client is normally the data controller (determining why and how data is used) and Z-GATE is the data processor (handling data on the Client's instructions), consistent with Law N° 058/2021.</w:t>
      </w:r>
    </w:p>
    <w:p>
      <w:pPr>
        <w:pStyle w:val="ListParagraph"/>
        <w:numPr>
          <w:ilvl w:val="0"/>
          <w:numId w:val="1"/>
        </w:numPr>
        <w:spacing w:after="60"/>
      </w:pPr>
      <w:r>
        <w:rPr>
          <w:color w:val="26282E"/>
          <w:sz w:val="19"/>
          <w:szCs w:val="19"/>
        </w:rPr>
        <w:t xml:space="preserve">Z-GATE designates a Data Protection Officer (DPO), internal or external, responsible for this policy, NCSA registration, breach coordination, and responding to data subject and client requests.</w:t>
      </w:r>
    </w:p>
    <w:p>
      <w:pPr>
        <w:pStyle w:val="ListParagraph"/>
        <w:numPr>
          <w:ilvl w:val="0"/>
          <w:numId w:val="1"/>
        </w:numPr>
        <w:spacing w:after="60"/>
      </w:pPr>
      <w:r>
        <w:rPr>
          <w:color w:val="26282E"/>
          <w:sz w:val="19"/>
          <w:szCs w:val="19"/>
        </w:rPr>
        <w:t xml:space="preserve">Each client engagement, in any division, names a Service Delivery Lead accountable for that client's day-to-day data handling.</w:t>
      </w:r>
    </w:p>
    <w:p>
      <w:pPr>
        <w:spacing w:after="80" w:before="220"/>
      </w:pPr>
      <w:r>
        <w:rPr>
          <w:rFonts w:ascii="Georgia" w:cs="Georgia" w:eastAsia="Georgia" w:hAnsi="Georgia"/>
          <w:b/>
          <w:bCs/>
          <w:color w:val="0B0F1A"/>
          <w:sz w:val="21"/>
          <w:szCs w:val="21"/>
        </w:rPr>
        <w:t xml:space="preserve">3. Data Classification</w:t>
      </w:r>
    </w:p>
    <w:p>
      <w:pPr>
        <w:pStyle w:val="ListParagraph"/>
        <w:numPr>
          <w:ilvl w:val="0"/>
          <w:numId w:val="1"/>
        </w:numPr>
        <w:spacing w:after="60"/>
      </w:pPr>
      <w:r>
        <w:rPr>
          <w:color w:val="26282E"/>
          <w:sz w:val="19"/>
          <w:szCs w:val="19"/>
        </w:rPr>
        <w:t xml:space="preserve">Public — information with no confidentiality requirement (e.g., published marketing content).</w:t>
      </w:r>
    </w:p>
    <w:p>
      <w:pPr>
        <w:pStyle w:val="ListParagraph"/>
        <w:numPr>
          <w:ilvl w:val="0"/>
          <w:numId w:val="1"/>
        </w:numPr>
        <w:spacing w:after="60"/>
      </w:pPr>
      <w:r>
        <w:rPr>
          <w:color w:val="26282E"/>
          <w:sz w:val="19"/>
          <w:szCs w:val="19"/>
        </w:rPr>
        <w:t xml:space="preserve">Internal — Z-GATE's own operational information, not for external release.</w:t>
      </w:r>
    </w:p>
    <w:p>
      <w:pPr>
        <w:pStyle w:val="ListParagraph"/>
        <w:numPr>
          <w:ilvl w:val="0"/>
          <w:numId w:val="1"/>
        </w:numPr>
        <w:spacing w:after="60"/>
      </w:pPr>
      <w:r>
        <w:rPr>
          <w:color w:val="26282E"/>
          <w:sz w:val="19"/>
          <w:szCs w:val="19"/>
        </w:rPr>
        <w:t xml:space="preserve">Confidential — client business information (financials, contracts, strategy) shared under the Client SLA's confidentiality clause.</w:t>
      </w:r>
    </w:p>
    <w:p>
      <w:pPr>
        <w:pStyle w:val="ListParagraph"/>
        <w:numPr>
          <w:ilvl w:val="0"/>
          <w:numId w:val="1"/>
        </w:numPr>
        <w:spacing w:after="60"/>
      </w:pPr>
      <w:r>
        <w:rPr>
          <w:color w:val="26282E"/>
          <w:sz w:val="19"/>
          <w:szCs w:val="19"/>
        </w:rPr>
        <w:t xml:space="preserve">Sensitive Personal Data — data revealing health, biometric, genetic, or similar categories, which requires explicit consent or another lawful basis and enhanced safeguards under Law N° 058/2021.</w:t>
      </w:r>
    </w:p>
    <w:p>
      <w:pPr>
        <w:spacing w:after="80" w:before="220"/>
      </w:pPr>
      <w:r>
        <w:rPr>
          <w:rFonts w:ascii="Georgia" w:cs="Georgia" w:eastAsia="Georgia" w:hAnsi="Georgia"/>
          <w:b/>
          <w:bCs/>
          <w:color w:val="0B0F1A"/>
          <w:sz w:val="21"/>
          <w:szCs w:val="21"/>
        </w:rPr>
        <w:t xml:space="preserve">4. Data Subject Rights</w:t>
      </w:r>
    </w:p>
    <w:p>
      <w:pPr>
        <w:pStyle w:val="ListParagraph"/>
        <w:numPr>
          <w:ilvl w:val="0"/>
          <w:numId w:val="1"/>
        </w:numPr>
        <w:spacing w:after="60"/>
      </w:pPr>
      <w:r>
        <w:rPr>
          <w:color w:val="26282E"/>
          <w:sz w:val="19"/>
          <w:szCs w:val="19"/>
        </w:rPr>
        <w:t xml:space="preserve">Individuals whose personal data Z-GATE processes on a client's behalf have the right to: access their data; request rectification; request erasure; object to processing; request restriction of processing; request data portability; not be subject to a decision based solely on automated processing; and designate an heir to their personal data.</w:t>
      </w:r>
    </w:p>
    <w:p>
      <w:pPr>
        <w:pStyle w:val="ListParagraph"/>
        <w:numPr>
          <w:ilvl w:val="0"/>
          <w:numId w:val="1"/>
        </w:numPr>
        <w:spacing w:after="60"/>
      </w:pPr>
      <w:r>
        <w:rPr>
          <w:color w:val="26282E"/>
          <w:sz w:val="19"/>
          <w:szCs w:val="19"/>
        </w:rPr>
        <w:t xml:space="preserve">Requests received directly by Z-GATE are forwarded to the relevant Client (as data controller) within 2 Business Days, unless Z-GATE is itself the controller for that data.</w:t>
      </w:r>
    </w:p>
    <w:p>
      <w:pPr>
        <w:spacing w:after="80" w:before="220"/>
      </w:pPr>
      <w:r>
        <w:rPr>
          <w:rFonts w:ascii="Georgia" w:cs="Georgia" w:eastAsia="Georgia" w:hAnsi="Georgia"/>
          <w:b/>
          <w:bCs/>
          <w:color w:val="0B0F1A"/>
          <w:sz w:val="21"/>
          <w:szCs w:val="21"/>
        </w:rPr>
        <w:t xml:space="preserve">5. Data Collection &amp; Minimization</w:t>
      </w:r>
    </w:p>
    <w:p>
      <w:pPr>
        <w:pStyle w:val="ListParagraph"/>
        <w:numPr>
          <w:ilvl w:val="0"/>
          <w:numId w:val="1"/>
        </w:numPr>
        <w:spacing w:after="60"/>
      </w:pPr>
      <w:r>
        <w:rPr>
          <w:color w:val="26282E"/>
          <w:sz w:val="19"/>
          <w:szCs w:val="19"/>
        </w:rPr>
        <w:t xml:space="preserve">Z-GATE collects and processes only the data a specific engagement requires, for the purpose agreed with the Client, and no longer than necessary for that purpose.</w:t>
      </w:r>
    </w:p>
    <w:p>
      <w:pPr>
        <w:pStyle w:val="ListParagraph"/>
        <w:numPr>
          <w:ilvl w:val="0"/>
          <w:numId w:val="1"/>
        </w:numPr>
        <w:spacing w:after="60"/>
      </w:pPr>
      <w:r>
        <w:rPr>
          <w:color w:val="26282E"/>
          <w:sz w:val="19"/>
          <w:szCs w:val="19"/>
        </w:rPr>
        <w:t xml:space="preserve">Any request to use data for a new purpose beyond the original engagement requires the Client's written agreement before proceeding.</w:t>
      </w:r>
    </w:p>
    <w:p>
      <w:pPr>
        <w:spacing w:after="80" w:before="220"/>
      </w:pPr>
      <w:r>
        <w:rPr>
          <w:rFonts w:ascii="Georgia" w:cs="Georgia" w:eastAsia="Georgia" w:hAnsi="Georgia"/>
          <w:b/>
          <w:bCs/>
          <w:color w:val="0B0F1A"/>
          <w:sz w:val="21"/>
          <w:szCs w:val="21"/>
        </w:rPr>
        <w:t xml:space="preserve">6. Storage &amp; Data Localization</w:t>
      </w:r>
    </w:p>
    <w:p>
      <w:pPr>
        <w:pStyle w:val="ListParagraph"/>
        <w:numPr>
          <w:ilvl w:val="0"/>
          <w:numId w:val="1"/>
        </w:numPr>
        <w:spacing w:after="60"/>
      </w:pPr>
      <w:r>
        <w:rPr>
          <w:color w:val="26282E"/>
          <w:sz w:val="19"/>
          <w:szCs w:val="19"/>
        </w:rPr>
        <w:t xml:space="preserve">Personal data is stored within Rwanda by default, consistent with Law N° 058/2021.</w:t>
      </w:r>
    </w:p>
    <w:p>
      <w:pPr>
        <w:pStyle w:val="ListParagraph"/>
        <w:numPr>
          <w:ilvl w:val="0"/>
          <w:numId w:val="1"/>
        </w:numPr>
        <w:spacing w:after="60"/>
      </w:pPr>
      <w:r>
        <w:rPr>
          <w:color w:val="26282E"/>
          <w:sz w:val="19"/>
          <w:szCs w:val="19"/>
        </w:rPr>
        <w:t xml:space="preserve">Any offshore storage or processing (e.g., a cloud region outside Rwanda) requires Z-GATE to hold an NCSA-issued certificate authorizing that transfer, and written notice to the affected Client before the transfer begins.</w:t>
      </w:r>
    </w:p>
    <w:p>
      <w:pPr>
        <w:spacing w:after="80" w:before="220"/>
      </w:pPr>
      <w:r>
        <w:rPr>
          <w:rFonts w:ascii="Georgia" w:cs="Georgia" w:eastAsia="Georgia" w:hAnsi="Georgia"/>
          <w:b/>
          <w:bCs/>
          <w:color w:val="0B0F1A"/>
          <w:sz w:val="21"/>
          <w:szCs w:val="21"/>
        </w:rPr>
        <w:t xml:space="preserve">7. Technical Security Measures</w:t>
      </w:r>
    </w:p>
    <w:p>
      <w:pPr>
        <w:pStyle w:val="ListParagraph"/>
        <w:numPr>
          <w:ilvl w:val="0"/>
          <w:numId w:val="1"/>
        </w:numPr>
        <w:spacing w:after="60"/>
      </w:pPr>
      <w:r>
        <w:rPr>
          <w:color w:val="26282E"/>
          <w:sz w:val="19"/>
          <w:szCs w:val="19"/>
        </w:rPr>
        <w:t xml:space="preserve">Access to client systems and data is granted on a least-privilege, role-based basis and reviewed at least quarterly.</w:t>
      </w:r>
    </w:p>
    <w:p>
      <w:pPr>
        <w:pStyle w:val="ListParagraph"/>
        <w:numPr>
          <w:ilvl w:val="0"/>
          <w:numId w:val="1"/>
        </w:numPr>
        <w:spacing w:after="60"/>
      </w:pPr>
      <w:r>
        <w:rPr>
          <w:color w:val="26282E"/>
          <w:sz w:val="19"/>
          <w:szCs w:val="19"/>
        </w:rPr>
        <w:t xml:space="preserve">All staff and contractor accounts use unique credentials and multi-factor authentication (MFA) where the underlying system supports it.</w:t>
      </w:r>
    </w:p>
    <w:p>
      <w:pPr>
        <w:pStyle w:val="ListParagraph"/>
        <w:numPr>
          <w:ilvl w:val="0"/>
          <w:numId w:val="1"/>
        </w:numPr>
        <w:spacing w:after="60"/>
      </w:pPr>
      <w:r>
        <w:rPr>
          <w:color w:val="26282E"/>
          <w:sz w:val="19"/>
          <w:szCs w:val="19"/>
        </w:rPr>
        <w:t xml:space="preserve">Data in transit is encrypted (e.g., HTTPS/TLS); sensitive data at rest is encrypted where the hosting platform supports it.</w:t>
      </w:r>
    </w:p>
    <w:p>
      <w:pPr>
        <w:pStyle w:val="ListParagraph"/>
        <w:numPr>
          <w:ilvl w:val="0"/>
          <w:numId w:val="1"/>
        </w:numPr>
        <w:spacing w:after="60"/>
      </w:pPr>
      <w:r>
        <w:rPr>
          <w:color w:val="26282E"/>
          <w:sz w:val="19"/>
          <w:szCs w:val="19"/>
        </w:rPr>
        <w:t xml:space="preserve">Systems and dependencies are patched on a regular cycle; critical security patches are applied within 5 Business Days of release.</w:t>
      </w:r>
    </w:p>
    <w:p>
      <w:pPr>
        <w:pStyle w:val="ListParagraph"/>
        <w:numPr>
          <w:ilvl w:val="0"/>
          <w:numId w:val="1"/>
        </w:numPr>
        <w:spacing w:after="60"/>
      </w:pPr>
      <w:r>
        <w:rPr>
          <w:color w:val="26282E"/>
          <w:sz w:val="19"/>
          <w:szCs w:val="19"/>
        </w:rPr>
        <w:t xml:space="preserve">Backups are taken on a schedule appropriate to each system's criticality and tested periodically for restorability.</w:t>
      </w:r>
    </w:p>
    <w:p>
      <w:pPr>
        <w:spacing w:after="80" w:before="220"/>
      </w:pPr>
      <w:r>
        <w:rPr>
          <w:rFonts w:ascii="Georgia" w:cs="Georgia" w:eastAsia="Georgia" w:hAnsi="Georgia"/>
          <w:b/>
          <w:bCs/>
          <w:color w:val="0B0F1A"/>
          <w:sz w:val="21"/>
          <w:szCs w:val="21"/>
        </w:rPr>
        <w:t xml:space="preserve">8. Organizational Security Measures</w:t>
      </w:r>
    </w:p>
    <w:p>
      <w:pPr>
        <w:pStyle w:val="ListParagraph"/>
        <w:numPr>
          <w:ilvl w:val="0"/>
          <w:numId w:val="1"/>
        </w:numPr>
        <w:spacing w:after="60"/>
      </w:pPr>
      <w:r>
        <w:rPr>
          <w:color w:val="26282E"/>
          <w:sz w:val="19"/>
          <w:szCs w:val="19"/>
        </w:rPr>
        <w:t xml:space="preserve">Every staff member and contractor with data access signs a confidentiality undertaking (see HR Policy Manual, Clause 8) before starting work on a client engagement.</w:t>
      </w:r>
    </w:p>
    <w:p>
      <w:pPr>
        <w:pStyle w:val="ListParagraph"/>
        <w:numPr>
          <w:ilvl w:val="0"/>
          <w:numId w:val="1"/>
        </w:numPr>
        <w:spacing w:after="60"/>
      </w:pPr>
      <w:r>
        <w:rPr>
          <w:color w:val="26282E"/>
          <w:sz w:val="19"/>
          <w:szCs w:val="19"/>
        </w:rPr>
        <w:t xml:space="preserve">New hires and contractors complete a data protection and security briefing before receiving system access.</w:t>
      </w:r>
    </w:p>
    <w:p>
      <w:pPr>
        <w:pStyle w:val="ListParagraph"/>
        <w:numPr>
          <w:ilvl w:val="0"/>
          <w:numId w:val="1"/>
        </w:numPr>
        <w:spacing w:after="60"/>
      </w:pPr>
      <w:r>
        <w:rPr>
          <w:color w:val="26282E"/>
          <w:sz w:val="19"/>
          <w:szCs w:val="19"/>
        </w:rPr>
        <w:t xml:space="preserve">Any sub-processor or third-party tool used to deliver any division's services is assessed for adequate security and data protection commitments before adoption, and listed in the applicable Service Schedule.</w:t>
      </w:r>
    </w:p>
    <w:p>
      <w:pPr>
        <w:spacing w:after="80" w:before="220"/>
      </w:pPr>
      <w:r>
        <w:rPr>
          <w:rFonts w:ascii="Georgia" w:cs="Georgia" w:eastAsia="Georgia" w:hAnsi="Georgia"/>
          <w:b/>
          <w:bCs/>
          <w:color w:val="0B0F1A"/>
          <w:sz w:val="21"/>
          <w:szCs w:val="21"/>
        </w:rPr>
        <w:t xml:space="preserve">9. Data Breach Response</w:t>
      </w:r>
    </w:p>
    <w:p>
      <w:pPr>
        <w:pStyle w:val="ListParagraph"/>
        <w:numPr>
          <w:ilvl w:val="0"/>
          <w:numId w:val="1"/>
        </w:numPr>
        <w:spacing w:after="60"/>
      </w:pPr>
      <w:r>
        <w:rPr>
          <w:color w:val="26282E"/>
          <w:sz w:val="19"/>
          <w:szCs w:val="19"/>
        </w:rPr>
        <w:t xml:space="preserve">Any staff member or contractor who discovers or suspects a data breach must notify the DPO immediately, and in any event within 24 hours of discovery.</w:t>
      </w:r>
    </w:p>
    <w:p>
      <w:pPr>
        <w:pStyle w:val="ListParagraph"/>
        <w:numPr>
          <w:ilvl w:val="0"/>
          <w:numId w:val="1"/>
        </w:numPr>
        <w:spacing w:after="60"/>
      </w:pPr>
      <w:r>
        <w:rPr>
          <w:color w:val="26282E"/>
          <w:sz w:val="19"/>
          <w:szCs w:val="19"/>
        </w:rPr>
        <w:t xml:space="preserve">The DPO assesses the breach and, where it involves personal data, ensures the Data Protection and Privacy Office (NCSA) is notified within 48 hours of Z-GATE becoming aware of the breach, consistent with Articles 43–44 of Law N° 058/2021.</w:t>
      </w:r>
    </w:p>
    <w:p>
      <w:pPr>
        <w:pStyle w:val="ListParagraph"/>
        <w:numPr>
          <w:ilvl w:val="0"/>
          <w:numId w:val="1"/>
        </w:numPr>
        <w:spacing w:after="60"/>
      </w:pPr>
      <w:r>
        <w:rPr>
          <w:color w:val="26282E"/>
          <w:sz w:val="19"/>
          <w:szCs w:val="19"/>
        </w:rPr>
        <w:t xml:space="preserve">The affected Client is notified without undue delay, and in any event within 48 hours, with a description of the breach, the data affected, and the containment steps taken.</w:t>
      </w:r>
    </w:p>
    <w:p>
      <w:pPr>
        <w:pStyle w:val="ListParagraph"/>
        <w:numPr>
          <w:ilvl w:val="0"/>
          <w:numId w:val="1"/>
        </w:numPr>
        <w:spacing w:after="60"/>
      </w:pPr>
      <w:r>
        <w:rPr>
          <w:color w:val="26282E"/>
          <w:sz w:val="19"/>
          <w:szCs w:val="19"/>
        </w:rPr>
        <w:t xml:space="preserve">Where the breach is likely to result in high risk to affected individuals, the Client (as data controller) is responsible for notifying those individuals, with Z-GATE providing the information needed to do so.</w:t>
      </w:r>
    </w:p>
    <w:p>
      <w:pPr>
        <w:spacing w:after="80" w:before="220"/>
      </w:pPr>
      <w:r>
        <w:rPr>
          <w:rFonts w:ascii="Georgia" w:cs="Georgia" w:eastAsia="Georgia" w:hAnsi="Georgia"/>
          <w:b/>
          <w:bCs/>
          <w:color w:val="0B0F1A"/>
          <w:sz w:val="21"/>
          <w:szCs w:val="21"/>
        </w:rPr>
        <w:t xml:space="preserve">10. Data Retention &amp; Deletion</w:t>
      </w:r>
    </w:p>
    <w:p>
      <w:pPr>
        <w:pStyle w:val="ListParagraph"/>
        <w:numPr>
          <w:ilvl w:val="0"/>
          <w:numId w:val="1"/>
        </w:numPr>
        <w:spacing w:after="60"/>
      </w:pPr>
      <w:r>
        <w:rPr>
          <w:color w:val="26282E"/>
          <w:sz w:val="19"/>
          <w:szCs w:val="19"/>
        </w:rPr>
        <w:t xml:space="preserve">Client and personal data is retained only for the duration of the engagement plus any period required by Rwandan law (e.g., tax or accounting record-keeping rules), then securely deleted or returned to the Client.</w:t>
      </w:r>
    </w:p>
    <w:p>
      <w:pPr>
        <w:pStyle w:val="ListParagraph"/>
        <w:numPr>
          <w:ilvl w:val="0"/>
          <w:numId w:val="1"/>
        </w:numPr>
        <w:spacing w:after="60"/>
      </w:pPr>
      <w:r>
        <w:rPr>
          <w:color w:val="26282E"/>
          <w:sz w:val="19"/>
          <w:szCs w:val="19"/>
        </w:rPr>
        <w:t xml:space="preserve">On termination of a Service Schedule, Z-GATE follows the data return/deletion process set out in Clause 11 of the Client SLA.</w:t>
      </w:r>
    </w:p>
    <w:p>
      <w:pPr>
        <w:spacing w:after="80" w:before="220"/>
      </w:pPr>
      <w:r>
        <w:rPr>
          <w:rFonts w:ascii="Georgia" w:cs="Georgia" w:eastAsia="Georgia" w:hAnsi="Georgia"/>
          <w:b/>
          <w:bCs/>
          <w:color w:val="0B0F1A"/>
          <w:sz w:val="21"/>
          <w:szCs w:val="21"/>
        </w:rPr>
        <w:t xml:space="preserve">11. Cross-Border Transfers</w:t>
      </w:r>
    </w:p>
    <w:p>
      <w:pPr>
        <w:pStyle w:val="ListParagraph"/>
        <w:numPr>
          <w:ilvl w:val="0"/>
          <w:numId w:val="1"/>
        </w:numPr>
        <w:spacing w:after="60"/>
      </w:pPr>
      <w:r>
        <w:rPr>
          <w:color w:val="26282E"/>
          <w:sz w:val="19"/>
          <w:szCs w:val="19"/>
        </w:rPr>
        <w:t xml:space="preserve">Any transfer of personal data outside Rwanda follows Clause 6 (Storage &amp; Data Localization) and requires an NCSA-issued certificate plus written Client notice before the transfer.</w:t>
      </w:r>
    </w:p>
    <w:p>
      <w:pPr>
        <w:pStyle w:val="ListParagraph"/>
        <w:numPr>
          <w:ilvl w:val="0"/>
          <w:numId w:val="1"/>
        </w:numPr>
        <w:spacing w:after="60"/>
      </w:pPr>
      <w:r>
        <w:rPr>
          <w:color w:val="26282E"/>
          <w:sz w:val="19"/>
          <w:szCs w:val="19"/>
        </w:rPr>
        <w:t xml:space="preserve">Where a Tech engagement uses an international cloud or software vendor, the applicable Service Schedule names the vendor and confirms the safeguards in place.</w:t>
      </w:r>
    </w:p>
    <w:p>
      <w:pPr>
        <w:spacing w:after="80" w:before="220"/>
      </w:pPr>
      <w:r>
        <w:rPr>
          <w:rFonts w:ascii="Georgia" w:cs="Georgia" w:eastAsia="Georgia" w:hAnsi="Georgia"/>
          <w:b/>
          <w:bCs/>
          <w:color w:val="0B0F1A"/>
          <w:sz w:val="21"/>
          <w:szCs w:val="21"/>
        </w:rPr>
        <w:t xml:space="preserve">12. Data Protection Impact Assessments (DPIA)</w:t>
      </w:r>
    </w:p>
    <w:p>
      <w:pPr>
        <w:pStyle w:val="ListParagraph"/>
        <w:numPr>
          <w:ilvl w:val="0"/>
          <w:numId w:val="1"/>
        </w:numPr>
        <w:spacing w:after="60"/>
      </w:pPr>
      <w:r>
        <w:rPr>
          <w:color w:val="26282E"/>
          <w:sz w:val="19"/>
          <w:szCs w:val="19"/>
        </w:rPr>
        <w:t xml:space="preserve">Before starting any engagement likely to pose a high risk to individuals' rights (e.g., large-scale processing of sensitive personal data, or new automated decision-making), Z-GATE conducts a DPIA with the Client and records the outcome, consistent with Article 38(3) of Law N° 058/2021.</w:t>
      </w:r>
    </w:p>
    <w:p>
      <w:pPr>
        <w:spacing w:after="80" w:before="220"/>
      </w:pPr>
      <w:r>
        <w:rPr>
          <w:rFonts w:ascii="Georgia" w:cs="Georgia" w:eastAsia="Georgia" w:hAnsi="Georgia"/>
          <w:b/>
          <w:bCs/>
          <w:color w:val="0B0F1A"/>
          <w:sz w:val="21"/>
          <w:szCs w:val="21"/>
        </w:rPr>
        <w:t xml:space="preserve">13. Client &amp; Data Subject Requests</w:t>
      </w:r>
    </w:p>
    <w:p>
      <w:pPr>
        <w:pStyle w:val="ListParagraph"/>
        <w:numPr>
          <w:ilvl w:val="0"/>
          <w:numId w:val="1"/>
        </w:numPr>
        <w:spacing w:after="60"/>
      </w:pPr>
      <w:r>
        <w:rPr>
          <w:color w:val="26282E"/>
          <w:sz w:val="19"/>
          <w:szCs w:val="19"/>
        </w:rPr>
        <w:t xml:space="preserve">Clients or data subjects may direct a data protection request or concern to the Z-GATE DPO using the contact point stated in the applicable Service Schedule.</w:t>
      </w:r>
    </w:p>
    <w:p>
      <w:pPr>
        <w:pStyle w:val="ListParagraph"/>
        <w:numPr>
          <w:ilvl w:val="0"/>
          <w:numId w:val="1"/>
        </w:numPr>
        <w:spacing w:after="60"/>
      </w:pPr>
      <w:r>
        <w:rPr>
          <w:color w:val="26282E"/>
          <w:sz w:val="19"/>
          <w:szCs w:val="19"/>
        </w:rPr>
        <w:t xml:space="preserve">Z-GATE acknowledges such requests within 2 Business Days and resolves or escalates them per the escalation procedure in Clause 8 of the Client SLA.</w:t>
      </w:r>
    </w:p>
    <w:p>
      <w:pPr>
        <w:spacing w:after="80" w:before="220"/>
      </w:pPr>
      <w:r>
        <w:rPr>
          <w:rFonts w:ascii="Georgia" w:cs="Georgia" w:eastAsia="Georgia" w:hAnsi="Georgia"/>
          <w:b/>
          <w:bCs/>
          <w:color w:val="0B0F1A"/>
          <w:sz w:val="21"/>
          <w:szCs w:val="21"/>
        </w:rPr>
        <w:t xml:space="preserve">14. Policy Review</w:t>
      </w:r>
    </w:p>
    <w:p>
      <w:pPr>
        <w:pStyle w:val="ListParagraph"/>
        <w:numPr>
          <w:ilvl w:val="0"/>
          <w:numId w:val="1"/>
        </w:numPr>
        <w:spacing w:after="60"/>
      </w:pPr>
      <w:r>
        <w:rPr>
          <w:color w:val="26282E"/>
          <w:sz w:val="19"/>
          <w:szCs w:val="19"/>
        </w:rPr>
        <w:t xml:space="preserve">This policy is reviewed at least annually, whenever Rwandan data protection or ICT law changes materially, or after any significant security incident, and takes effect once signed on the Approval page.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0B0F1A" w:color="auto" w:val="clear"/>
            <w:tcMar>
              <w:top w:type="dxa" w:w="260"/>
              <w:left w:type="dxa" w:w="260"/>
              <w:bottom w:type="dxa" w:w="260"/>
              <w:right w:type="dxa" w:w="260"/>
            </w:tcMar>
          </w:tcPr>
          <w:p>
            <w:r>
              <w:rPr>
                <w:b/>
                <w:bCs/>
                <w:color w:val="34E0C9"/>
                <w:spacing w:val="20"/>
                <w:sz w:val="20"/>
                <w:szCs w:val="20"/>
              </w:rPr>
              <w:t xml:space="preserve">PART 2</w:t>
            </w:r>
          </w:p>
          <w:p>
            <w:pPr>
              <w:spacing w:before="80"/>
            </w:pPr>
            <w:r>
              <w:rPr>
                <w:rFonts w:ascii="Georgia" w:cs="Georgia" w:eastAsia="Georgia" w:hAnsi="Georgia"/>
                <w:b/>
                <w:bCs/>
                <w:color w:val="FFFFFF"/>
                <w:sz w:val="32"/>
                <w:szCs w:val="32"/>
              </w:rPr>
              <w:t xml:space="preserve">Division Annexes — All Four Client Services</w:t>
            </w:r>
          </w:p>
        </w:tc>
      </w:tr>
    </w:tbl>
    <w:p>
      <w:pPr>
        <w:spacing w:after="10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C9A15A" w:color="auto" w:val="clear"/>
            <w:tcMar>
              <w:top w:type="dxa" w:w="180"/>
              <w:left w:type="dxa" w:w="220"/>
              <w:bottom w:type="dxa" w:w="180"/>
              <w:right w:type="dxa" w:w="220"/>
            </w:tcMar>
          </w:tcPr>
          <w:p>
            <w:r>
              <w:rPr>
                <w:rFonts w:ascii="Georgia" w:cs="Georgia" w:eastAsia="Georgia" w:hAnsi="Georgia"/>
                <w:b/>
                <w:bCs/>
                <w:color w:val="FFFFFF"/>
                <w:sz w:val="22"/>
                <w:szCs w:val="22"/>
              </w:rPr>
              <w:t xml:space="preserve">ANNEX A — Z-GATE ADVISORY DATA CONTROLS</w:t>
            </w:r>
          </w:p>
        </w:tc>
      </w:tr>
    </w:tbl>
    <w:p>
      <w:pPr>
        <w:pStyle w:val="Heading2"/>
        <w:spacing w:after="110" w:before="240"/>
      </w:pPr>
      <w:r>
        <w:rPr>
          <w:rFonts w:ascii="Georgia" w:cs="Georgia" w:eastAsia="Georgia" w:hAnsi="Georgia"/>
          <w:b/>
          <w:bCs/>
          <w:color w:val="C9A15A"/>
          <w:sz w:val="23"/>
          <w:szCs w:val="23"/>
        </w:rPr>
        <w:t xml:space="preserve">Applies To</w:t>
      </w:r>
    </w:p>
    <w:p>
      <w:pPr>
        <w:spacing w:after="120"/>
      </w:pPr>
      <w:r>
        <w:rPr>
          <w:color w:val="26282E"/>
          <w:sz w:val="19"/>
          <w:szCs w:val="19"/>
        </w:rPr>
        <w:t xml:space="preserve">Tax representation, bookkeeping, and business advisory services delivered under SLA Schedule A.</w:t>
      </w:r>
    </w:p>
    <w:p>
      <w:pPr>
        <w:pStyle w:val="Heading2"/>
        <w:spacing w:after="110" w:before="240"/>
      </w:pPr>
      <w:r>
        <w:rPr>
          <w:rFonts w:ascii="Georgia" w:cs="Georgia" w:eastAsia="Georgia" w:hAnsi="Georgia"/>
          <w:b/>
          <w:bCs/>
          <w:color w:val="C9A15A"/>
          <w:sz w:val="23"/>
          <w:szCs w:val="23"/>
        </w:rPr>
        <w:t xml:space="preserve">Baseline Controls</w:t>
      </w:r>
    </w:p>
    <w:p>
      <w:pPr>
        <w:pStyle w:val="ListParagraph"/>
        <w:numPr>
          <w:ilvl w:val="0"/>
          <w:numId w:val="1"/>
        </w:numPr>
        <w:spacing w:after="60"/>
      </w:pPr>
      <w:r>
        <w:rPr>
          <w:color w:val="26282E"/>
          <w:sz w:val="19"/>
          <w:szCs w:val="19"/>
        </w:rPr>
        <w:t xml:space="preserve">Client financial documents, National ID/TIN numbers, and bank details are stored in access-controlled, Rwanda-based storage, separated by client file.</w:t>
      </w:r>
    </w:p>
    <w:p>
      <w:pPr>
        <w:pStyle w:val="ListParagraph"/>
        <w:numPr>
          <w:ilvl w:val="0"/>
          <w:numId w:val="1"/>
        </w:numPr>
        <w:spacing w:after="60"/>
      </w:pPr>
      <w:r>
        <w:rPr>
          <w:color w:val="26282E"/>
          <w:sz w:val="19"/>
          <w:szCs w:val="19"/>
        </w:rPr>
        <w:t xml:space="preserve">Only the Advisory associate(s) assigned to a client's account may access that client's financial records; access is logged.</w:t>
      </w:r>
    </w:p>
    <w:p>
      <w:pPr>
        <w:pStyle w:val="ListParagraph"/>
        <w:numPr>
          <w:ilvl w:val="0"/>
          <w:numId w:val="1"/>
        </w:numPr>
        <w:spacing w:after="60"/>
      </w:pPr>
      <w:r>
        <w:rPr>
          <w:color w:val="26282E"/>
          <w:sz w:val="19"/>
          <w:szCs w:val="19"/>
        </w:rPr>
        <w:t xml:space="preserve">Physical documents (if any) are stored in a locked location and digitized promptly to reduce reliance on paper copies.</w:t>
      </w:r>
    </w:p>
    <w:p>
      <w:pPr>
        <w:pStyle w:val="ListParagraph"/>
        <w:numPr>
          <w:ilvl w:val="0"/>
          <w:numId w:val="1"/>
        </w:numPr>
        <w:spacing w:after="60"/>
      </w:pPr>
      <w:r>
        <w:rPr>
          <w:color w:val="26282E"/>
          <w:sz w:val="19"/>
          <w:szCs w:val="19"/>
        </w:rPr>
        <w:t xml:space="preserve">Tax and accounting records are retained for the period required by RRA and Rwandan company-law record-keeping rules — confirm the exact statutory period with legal/tax counsel before finalizing retention schedules — then securely archived or deleted per Clause 10.</w:t>
      </w:r>
    </w:p>
    <w:p>
      <w:pPr>
        <w:pStyle w:val="Heading2"/>
        <w:spacing w:after="110" w:before="240"/>
      </w:pPr>
      <w:r>
        <w:rPr>
          <w:rFonts w:ascii="Georgia" w:cs="Georgia" w:eastAsia="Georgia" w:hAnsi="Georgia"/>
          <w:b/>
          <w:bCs/>
          <w:color w:val="C9A15A"/>
          <w:sz w:val="23"/>
          <w:szCs w:val="23"/>
        </w:rPr>
        <w:t xml:space="preserve">Client Commitments</w:t>
      </w:r>
    </w:p>
    <w:p>
      <w:pPr>
        <w:pStyle w:val="ListParagraph"/>
        <w:numPr>
          <w:ilvl w:val="0"/>
          <w:numId w:val="1"/>
        </w:numPr>
        <w:spacing w:after="60"/>
      </w:pPr>
      <w:r>
        <w:rPr>
          <w:color w:val="26282E"/>
          <w:sz w:val="19"/>
          <w:szCs w:val="19"/>
        </w:rPr>
        <w:t xml:space="preserve">Z-GATE will not disclose a Client's tax or financial position to any third party without the Client's consent, except where disclosure is required by the RRA or another competent authority.</w:t>
      </w:r>
    </w:p>
    <w:p>
      <w:pPr>
        <w:pStyle w:val="ListParagraph"/>
        <w:numPr>
          <w:ilvl w:val="0"/>
          <w:numId w:val="1"/>
        </w:numPr>
        <w:spacing w:after="60"/>
      </w:pPr>
      <w:r>
        <w:rPr>
          <w:color w:val="26282E"/>
          <w:sz w:val="19"/>
          <w:szCs w:val="19"/>
        </w:rPr>
        <w:t xml:space="preserve">Z-GATE will confirm in writing before submitting any filing on the Client's behalf.</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3FAE7A" w:color="auto" w:val="clear"/>
            <w:tcMar>
              <w:top w:type="dxa" w:w="180"/>
              <w:left w:type="dxa" w:w="220"/>
              <w:bottom w:type="dxa" w:w="180"/>
              <w:right w:type="dxa" w:w="220"/>
            </w:tcMar>
          </w:tcPr>
          <w:p>
            <w:r>
              <w:rPr>
                <w:rFonts w:ascii="Georgia" w:cs="Georgia" w:eastAsia="Georgia" w:hAnsi="Georgia"/>
                <w:b/>
                <w:bCs/>
                <w:color w:val="FFFFFF"/>
                <w:sz w:val="22"/>
                <w:szCs w:val="22"/>
              </w:rPr>
              <w:t xml:space="preserve">ANNEX B — Z-GATE ACADEMY DATA CONTROLS</w:t>
            </w:r>
          </w:p>
        </w:tc>
      </w:tr>
    </w:tbl>
    <w:p>
      <w:pPr>
        <w:pStyle w:val="Heading2"/>
        <w:spacing w:after="110" w:before="240"/>
      </w:pPr>
      <w:r>
        <w:rPr>
          <w:rFonts w:ascii="Georgia" w:cs="Georgia" w:eastAsia="Georgia" w:hAnsi="Georgia"/>
          <w:b/>
          <w:bCs/>
          <w:color w:val="3FAE7A"/>
          <w:sz w:val="23"/>
          <w:szCs w:val="23"/>
        </w:rPr>
        <w:t xml:space="preserve">Applies To</w:t>
      </w:r>
    </w:p>
    <w:p>
      <w:pPr>
        <w:spacing w:after="120"/>
      </w:pPr>
      <w:r>
        <w:rPr>
          <w:color w:val="26282E"/>
          <w:sz w:val="19"/>
          <w:szCs w:val="19"/>
        </w:rPr>
        <w:t xml:space="preserve">Course enrollment, delivery, and certification services delivered under SLA Schedule B.</w:t>
      </w:r>
    </w:p>
    <w:p>
      <w:pPr>
        <w:pStyle w:val="Heading2"/>
        <w:spacing w:after="110" w:before="240"/>
      </w:pPr>
      <w:r>
        <w:rPr>
          <w:rFonts w:ascii="Georgia" w:cs="Georgia" w:eastAsia="Georgia" w:hAnsi="Georgia"/>
          <w:b/>
          <w:bCs/>
          <w:color w:val="3FAE7A"/>
          <w:sz w:val="23"/>
          <w:szCs w:val="23"/>
        </w:rPr>
        <w:t xml:space="preserve">Baseline Controls</w:t>
      </w:r>
    </w:p>
    <w:p>
      <w:pPr>
        <w:pStyle w:val="ListParagraph"/>
        <w:numPr>
          <w:ilvl w:val="0"/>
          <w:numId w:val="1"/>
        </w:numPr>
        <w:spacing w:after="60"/>
      </w:pPr>
      <w:r>
        <w:rPr>
          <w:color w:val="26282E"/>
          <w:sz w:val="19"/>
          <w:szCs w:val="19"/>
        </w:rPr>
        <w:t xml:space="preserve">Learner data (name, contact details, attendance, assessment results) is collected only for enrollment, delivery, and certification purposes.</w:t>
      </w:r>
    </w:p>
    <w:p>
      <w:pPr>
        <w:pStyle w:val="ListParagraph"/>
        <w:numPr>
          <w:ilvl w:val="0"/>
          <w:numId w:val="1"/>
        </w:numPr>
        <w:spacing w:after="60"/>
      </w:pPr>
      <w:r>
        <w:rPr>
          <w:color w:val="26282E"/>
          <w:sz w:val="19"/>
          <w:szCs w:val="19"/>
        </w:rPr>
        <w:t xml:space="preserve">Corporate cohort data (e.g., an employer's list of enrolled staff) is treated as that employer's Confidential Information under the Client SLA, not shared with other clients.</w:t>
      </w:r>
    </w:p>
    <w:p>
      <w:pPr>
        <w:pStyle w:val="ListParagraph"/>
        <w:numPr>
          <w:ilvl w:val="0"/>
          <w:numId w:val="1"/>
        </w:numPr>
        <w:spacing w:after="60"/>
      </w:pPr>
      <w:r>
        <w:rPr>
          <w:color w:val="26282E"/>
          <w:sz w:val="19"/>
          <w:szCs w:val="19"/>
        </w:rPr>
        <w:t xml:space="preserve">Certificates are issued only to the verified learner named on the enrollment record.</w:t>
      </w:r>
    </w:p>
    <w:p>
      <w:pPr>
        <w:pStyle w:val="ListParagraph"/>
        <w:numPr>
          <w:ilvl w:val="0"/>
          <w:numId w:val="1"/>
        </w:numPr>
        <w:spacing w:after="60"/>
      </w:pPr>
      <w:r>
        <w:rPr>
          <w:color w:val="26282E"/>
          <w:sz w:val="19"/>
          <w:szCs w:val="19"/>
        </w:rPr>
        <w:t xml:space="preserve">Learner records are retained only as long as needed to support certificate verification, then archived or deleted per Clause 10.</w:t>
      </w:r>
    </w:p>
    <w:p>
      <w:pPr>
        <w:pStyle w:val="Heading2"/>
        <w:spacing w:after="110" w:before="240"/>
      </w:pPr>
      <w:r>
        <w:rPr>
          <w:rFonts w:ascii="Georgia" w:cs="Georgia" w:eastAsia="Georgia" w:hAnsi="Georgia"/>
          <w:b/>
          <w:bCs/>
          <w:color w:val="3FAE7A"/>
          <w:sz w:val="23"/>
          <w:szCs w:val="23"/>
        </w:rPr>
        <w:t xml:space="preserve">Client Commitments</w:t>
      </w:r>
    </w:p>
    <w:p>
      <w:pPr>
        <w:pStyle w:val="ListParagraph"/>
        <w:numPr>
          <w:ilvl w:val="0"/>
          <w:numId w:val="1"/>
        </w:numPr>
        <w:spacing w:after="60"/>
      </w:pPr>
      <w:r>
        <w:rPr>
          <w:color w:val="26282E"/>
          <w:sz w:val="19"/>
          <w:szCs w:val="19"/>
        </w:rPr>
        <w:t xml:space="preserve">Z-GATE will not share individual learner performance data with a corporate client beyond the aggregate cohort summary agreed in SLA Schedule B, without the learner's consent.</w:t>
      </w:r>
    </w:p>
    <w:p>
      <w:pPr>
        <w:pStyle w:val="ListParagraph"/>
        <w:numPr>
          <w:ilvl w:val="0"/>
          <w:numId w:val="1"/>
        </w:numPr>
        <w:spacing w:after="60"/>
      </w:pPr>
      <w:r>
        <w:rPr>
          <w:color w:val="26282E"/>
          <w:sz w:val="19"/>
          <w:szCs w:val="19"/>
        </w:rPr>
        <w:t xml:space="preserve">Z-GATE will confirm a learner's certificate status to a third party (e.g., an employer verifying a claimed qualification) only with the learner's consent or the corporate Client's authorization.</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3F8CFA" w:color="auto" w:val="clear"/>
            <w:tcMar>
              <w:top w:type="dxa" w:w="180"/>
              <w:left w:type="dxa" w:w="220"/>
              <w:bottom w:type="dxa" w:w="180"/>
              <w:right w:type="dxa" w:w="220"/>
            </w:tcMar>
          </w:tcPr>
          <w:p>
            <w:r>
              <w:rPr>
                <w:rFonts w:ascii="Georgia" w:cs="Georgia" w:eastAsia="Georgia" w:hAnsi="Georgia"/>
                <w:b/>
                <w:bCs/>
                <w:color w:val="FFFFFF"/>
                <w:sz w:val="22"/>
                <w:szCs w:val="22"/>
              </w:rPr>
              <w:t xml:space="preserve">ANNEX C — Z-GATE TECH SECURITY CONTROLS</w:t>
            </w:r>
          </w:p>
        </w:tc>
      </w:tr>
    </w:tbl>
    <w:p>
      <w:pPr>
        <w:pStyle w:val="Heading2"/>
        <w:spacing w:after="110" w:before="240"/>
      </w:pPr>
      <w:r>
        <w:rPr>
          <w:rFonts w:ascii="Georgia" w:cs="Georgia" w:eastAsia="Georgia" w:hAnsi="Georgia"/>
          <w:b/>
          <w:bCs/>
          <w:color w:val="3F8CFA"/>
          <w:sz w:val="23"/>
          <w:szCs w:val="23"/>
        </w:rPr>
        <w:t xml:space="preserve">Applies To</w:t>
      </w:r>
    </w:p>
    <w:p>
      <w:pPr>
        <w:spacing w:after="120"/>
      </w:pPr>
      <w:r>
        <w:rPr>
          <w:color w:val="26282E"/>
          <w:sz w:val="19"/>
          <w:szCs w:val="19"/>
        </w:rPr>
        <w:t xml:space="preserve">Software development, systems management, and hosting/infrastructure services delivered under SLA Schedule C.</w:t>
      </w:r>
    </w:p>
    <w:p>
      <w:pPr>
        <w:pStyle w:val="Heading2"/>
        <w:spacing w:after="110" w:before="240"/>
      </w:pPr>
      <w:r>
        <w:rPr>
          <w:rFonts w:ascii="Georgia" w:cs="Georgia" w:eastAsia="Georgia" w:hAnsi="Georgia"/>
          <w:b/>
          <w:bCs/>
          <w:color w:val="3F8CFA"/>
          <w:sz w:val="23"/>
          <w:szCs w:val="23"/>
        </w:rPr>
        <w:t xml:space="preserve">Baseline Controls</w:t>
      </w:r>
    </w:p>
    <w:p>
      <w:pPr>
        <w:pStyle w:val="ListParagraph"/>
        <w:numPr>
          <w:ilvl w:val="0"/>
          <w:numId w:val="1"/>
        </w:numPr>
        <w:spacing w:after="60"/>
      </w:pPr>
      <w:r>
        <w:rPr>
          <w:color w:val="26282E"/>
          <w:sz w:val="19"/>
          <w:szCs w:val="19"/>
        </w:rPr>
        <w:t xml:space="preserve">Source code and credentials are never stored in plaintext in version control; secrets are managed through an access-controlled secrets store.</w:t>
      </w:r>
    </w:p>
    <w:p>
      <w:pPr>
        <w:pStyle w:val="ListParagraph"/>
        <w:numPr>
          <w:ilvl w:val="0"/>
          <w:numId w:val="1"/>
        </w:numPr>
        <w:spacing w:after="60"/>
      </w:pPr>
      <w:r>
        <w:rPr>
          <w:color w:val="26282E"/>
          <w:sz w:val="19"/>
          <w:szCs w:val="19"/>
        </w:rPr>
        <w:t xml:space="preserve">Production and development environments are separated; client production data is not used in development or testing without the Client's written consent and appropriate anonymization.</w:t>
      </w:r>
    </w:p>
    <w:p>
      <w:pPr>
        <w:pStyle w:val="ListParagraph"/>
        <w:numPr>
          <w:ilvl w:val="0"/>
          <w:numId w:val="1"/>
        </w:numPr>
        <w:spacing w:after="60"/>
      </w:pPr>
      <w:r>
        <w:rPr>
          <w:color w:val="26282E"/>
          <w:sz w:val="19"/>
          <w:szCs w:val="19"/>
        </w:rPr>
        <w:t xml:space="preserve">Hosted systems are monitored for uptime and security events, with alerts routed to the Service Delivery Lead.</w:t>
      </w:r>
    </w:p>
    <w:p>
      <w:pPr>
        <w:pStyle w:val="ListParagraph"/>
        <w:numPr>
          <w:ilvl w:val="0"/>
          <w:numId w:val="1"/>
        </w:numPr>
        <w:spacing w:after="60"/>
      </w:pPr>
      <w:r>
        <w:rPr>
          <w:color w:val="26282E"/>
          <w:sz w:val="19"/>
          <w:szCs w:val="19"/>
        </w:rPr>
        <w:t xml:space="preserve">Any critical vulnerability affecting a client system is remediated or mitigated within the response times defined in SLA Schedule C (2-hour response for critical outages).</w:t>
      </w:r>
    </w:p>
    <w:p>
      <w:pPr>
        <w:pStyle w:val="Heading2"/>
        <w:spacing w:after="110" w:before="240"/>
      </w:pPr>
      <w:r>
        <w:rPr>
          <w:rFonts w:ascii="Georgia" w:cs="Georgia" w:eastAsia="Georgia" w:hAnsi="Georgia"/>
          <w:b/>
          <w:bCs/>
          <w:color w:val="3F8CFA"/>
          <w:sz w:val="23"/>
          <w:szCs w:val="23"/>
        </w:rPr>
        <w:t xml:space="preserve">Client Commitments</w:t>
      </w:r>
    </w:p>
    <w:p>
      <w:pPr>
        <w:pStyle w:val="ListParagraph"/>
        <w:numPr>
          <w:ilvl w:val="0"/>
          <w:numId w:val="1"/>
        </w:numPr>
        <w:spacing w:after="60"/>
      </w:pPr>
      <w:r>
        <w:rPr>
          <w:color w:val="26282E"/>
          <w:sz w:val="19"/>
          <w:szCs w:val="19"/>
        </w:rPr>
        <w:t xml:space="preserve">Z-GATE will disclose, in the applicable Service Schedule, which third-party hosting or software vendors process the Client's data.</w:t>
      </w:r>
    </w:p>
    <w:p>
      <w:pPr>
        <w:pStyle w:val="ListParagraph"/>
        <w:numPr>
          <w:ilvl w:val="0"/>
          <w:numId w:val="1"/>
        </w:numPr>
        <w:spacing w:after="60"/>
      </w:pPr>
      <w:r>
        <w:rPr>
          <w:color w:val="26282E"/>
          <w:sz w:val="19"/>
          <w:szCs w:val="19"/>
        </w:rPr>
        <w:t xml:space="preserve">Z-GATE will provide a monthly uptime and security-incident summary alongside the uptime report already committed to in SLA Schedule C.</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A85CF6" w:color="auto" w:val="clear"/>
            <w:tcMar>
              <w:top w:type="dxa" w:w="180"/>
              <w:left w:type="dxa" w:w="220"/>
              <w:bottom w:type="dxa" w:w="180"/>
              <w:right w:type="dxa" w:w="220"/>
            </w:tcMar>
          </w:tcPr>
          <w:p>
            <w:r>
              <w:rPr>
                <w:rFonts w:ascii="Georgia" w:cs="Georgia" w:eastAsia="Georgia" w:hAnsi="Georgia"/>
                <w:b/>
                <w:bCs/>
                <w:color w:val="FFFFFF"/>
                <w:sz w:val="22"/>
                <w:szCs w:val="22"/>
              </w:rPr>
              <w:t xml:space="preserve">ANNEX D — Z-GATE DATA SECURITY CONTROLS</w:t>
            </w:r>
          </w:p>
        </w:tc>
      </w:tr>
    </w:tbl>
    <w:p>
      <w:pPr>
        <w:pStyle w:val="Heading2"/>
        <w:spacing w:after="110" w:before="240"/>
      </w:pPr>
      <w:r>
        <w:rPr>
          <w:rFonts w:ascii="Georgia" w:cs="Georgia" w:eastAsia="Georgia" w:hAnsi="Georgia"/>
          <w:b/>
          <w:bCs/>
          <w:color w:val="A85CF6"/>
          <w:sz w:val="23"/>
          <w:szCs w:val="23"/>
        </w:rPr>
        <w:t xml:space="preserve">Applies To</w:t>
      </w:r>
    </w:p>
    <w:p>
      <w:pPr>
        <w:spacing w:after="120"/>
      </w:pPr>
      <w:r>
        <w:rPr>
          <w:color w:val="26282E"/>
          <w:sz w:val="19"/>
          <w:szCs w:val="19"/>
        </w:rPr>
        <w:t xml:space="preserve">Data entry, data processing, reporting, and business intelligence services delivered under SLA Schedule D.</w:t>
      </w:r>
    </w:p>
    <w:p>
      <w:pPr>
        <w:pStyle w:val="Heading2"/>
        <w:spacing w:after="110" w:before="240"/>
      </w:pPr>
      <w:r>
        <w:rPr>
          <w:rFonts w:ascii="Georgia" w:cs="Georgia" w:eastAsia="Georgia" w:hAnsi="Georgia"/>
          <w:b/>
          <w:bCs/>
          <w:color w:val="A85CF6"/>
          <w:sz w:val="23"/>
          <w:szCs w:val="23"/>
        </w:rPr>
        <w:t xml:space="preserve">Baseline Controls</w:t>
      </w:r>
    </w:p>
    <w:p>
      <w:pPr>
        <w:pStyle w:val="ListParagraph"/>
        <w:numPr>
          <w:ilvl w:val="0"/>
          <w:numId w:val="1"/>
        </w:numPr>
        <w:spacing w:after="60"/>
      </w:pPr>
      <w:r>
        <w:rPr>
          <w:color w:val="26282E"/>
          <w:sz w:val="19"/>
          <w:szCs w:val="19"/>
        </w:rPr>
        <w:t xml:space="preserve">Client datasets are accessed only by staff assigned to that engagement, on a named, logged basis.</w:t>
      </w:r>
    </w:p>
    <w:p>
      <w:pPr>
        <w:pStyle w:val="ListParagraph"/>
        <w:numPr>
          <w:ilvl w:val="0"/>
          <w:numId w:val="1"/>
        </w:numPr>
        <w:spacing w:after="60"/>
      </w:pPr>
      <w:r>
        <w:rPr>
          <w:color w:val="26282E"/>
          <w:sz w:val="19"/>
          <w:szCs w:val="19"/>
        </w:rPr>
        <w:t xml:space="preserve">Working copies of client data used for processing are stored in access-controlled, Rwanda-based storage and deleted once the corresponding Deliverable is completed and accepted, unless the Client requests otherwise in writing.</w:t>
      </w:r>
    </w:p>
    <w:p>
      <w:pPr>
        <w:pStyle w:val="ListParagraph"/>
        <w:numPr>
          <w:ilvl w:val="0"/>
          <w:numId w:val="1"/>
        </w:numPr>
        <w:spacing w:after="60"/>
      </w:pPr>
      <w:r>
        <w:rPr>
          <w:color w:val="26282E"/>
          <w:sz w:val="19"/>
          <w:szCs w:val="19"/>
        </w:rPr>
        <w:t xml:space="preserve">Reports and dashboards are shared with Clients through access-controlled channels agreed in the Service Schedule, not open links or unsecured email attachments.</w:t>
      </w:r>
    </w:p>
    <w:p>
      <w:pPr>
        <w:pStyle w:val="ListParagraph"/>
        <w:numPr>
          <w:ilvl w:val="0"/>
          <w:numId w:val="1"/>
        </w:numPr>
        <w:spacing w:after="60"/>
      </w:pPr>
      <w:r>
        <w:rPr>
          <w:color w:val="26282E"/>
          <w:sz w:val="19"/>
          <w:szCs w:val="19"/>
        </w:rPr>
        <w:t xml:space="preserve">Data accuracy is verified by sample audit before delivery, consistent with the 99.5% accuracy target in SLA Schedule D.</w:t>
      </w:r>
    </w:p>
    <w:p>
      <w:pPr>
        <w:pStyle w:val="Heading2"/>
        <w:spacing w:after="110" w:before="240"/>
      </w:pPr>
      <w:r>
        <w:rPr>
          <w:rFonts w:ascii="Georgia" w:cs="Georgia" w:eastAsia="Georgia" w:hAnsi="Georgia"/>
          <w:b/>
          <w:bCs/>
          <w:color w:val="A85CF6"/>
          <w:sz w:val="23"/>
          <w:szCs w:val="23"/>
        </w:rPr>
        <w:t xml:space="preserve">Client Commitments</w:t>
      </w:r>
    </w:p>
    <w:p>
      <w:pPr>
        <w:pStyle w:val="ListParagraph"/>
        <w:numPr>
          <w:ilvl w:val="0"/>
          <w:numId w:val="1"/>
        </w:numPr>
        <w:spacing w:after="60"/>
      </w:pPr>
      <w:r>
        <w:rPr>
          <w:color w:val="26282E"/>
          <w:sz w:val="19"/>
          <w:szCs w:val="19"/>
        </w:rPr>
        <w:t xml:space="preserve">Z-GATE will confirm, before an engagement begins, whether the dataset involves sensitive personal data requiring a DPIA under Clause 12.</w:t>
      </w:r>
    </w:p>
    <w:p>
      <w:pPr>
        <w:pStyle w:val="ListParagraph"/>
        <w:numPr>
          <w:ilvl w:val="0"/>
          <w:numId w:val="1"/>
        </w:numPr>
        <w:spacing w:after="60"/>
      </w:pPr>
      <w:r>
        <w:rPr>
          <w:color w:val="26282E"/>
          <w:sz w:val="19"/>
          <w:szCs w:val="19"/>
        </w:rPr>
        <w:t xml:space="preserve">Z-GATE will not use one Client's data to build or benchmark another Client's Deliverables without written consent.</w:t>
      </w:r>
    </w:p>
    <w:p>
      <w:r>
        <w:br w:type="page"/>
      </w:r>
    </w:p>
    <w:p>
      <w:pPr>
        <w:spacing w:after="60" w:before="200"/>
      </w:pPr>
      <w:r>
        <w:rPr>
          <w:b/>
          <w:bCs/>
          <w:color w:val="5B6BFA"/>
          <w:sz w:val="20"/>
          <w:szCs w:val="20"/>
        </w:rPr>
        <w:t xml:space="preserve">— </w:t>
      </w:r>
      <w:r>
        <w:rPr>
          <w:b/>
          <w:bCs/>
          <w:color w:val="5B6BFA"/>
          <w:spacing w:val="20"/>
          <w:sz w:val="20"/>
          <w:szCs w:val="20"/>
        </w:rPr>
        <w:t xml:space="preserve">APPROVAL</w:t>
      </w:r>
    </w:p>
    <w:p>
      <w:pPr>
        <w:pStyle w:val="Heading1"/>
        <w:pBdr>
          <w:bottom w:val="single" w:color="0B0F1A" w:sz="12" w:space="6"/>
        </w:pBdr>
        <w:spacing w:after="150" w:before="380"/>
      </w:pPr>
      <w:r>
        <w:rPr>
          <w:rFonts w:ascii="Georgia" w:cs="Georgia" w:eastAsia="Georgia" w:hAnsi="Georgia"/>
          <w:b/>
          <w:bCs/>
          <w:color w:val="0B0F1A"/>
          <w:sz w:val="30"/>
          <w:szCs w:val="30"/>
        </w:rPr>
        <w:t xml:space="preserve">Policy Approval &amp; Version Control</w:t>
      </w:r>
    </w:p>
    <w:p>
      <w:pPr>
        <w:spacing w:after="120"/>
      </w:pPr>
      <w:r>
        <w:rPr>
          <w:color w:val="26282E"/>
          <w:sz w:val="19"/>
          <w:szCs w:val="19"/>
        </w:rPr>
        <w:t xml:space="preserve">This Data Privacy &amp; Security Policy takes effect once signed below, and should be published or shared with clients of any division alongside the relevant Service Schedule.</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gridCol w:w="100"/>
      </w:tblGrid>
      <w:tr>
        <w:tc>
          <w:tcPr>
            <w:tcW w:type="dxa" w:w="2088"/>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Version</w:t>
            </w:r>
          </w:p>
        </w:tc>
        <w:tc>
          <w:tcPr>
            <w:tcW w:type="dxa" w:w="3132"/>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Date</w:t>
            </w:r>
          </w:p>
        </w:tc>
        <w:tc>
          <w:tcPr>
            <w:tcW w:type="dxa" w:w="5220"/>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Summary</w:t>
            </w:r>
          </w:p>
        </w:tc>
      </w:tr>
      <w:tr>
        <w:tc>
          <w:tcPr>
            <w:tcW w:type="dxa" w:w="2088"/>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v1.0 (draft)</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27 August 2026</w:t>
            </w:r>
          </w:p>
        </w:tc>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Initial policy — Tech and Data annexes only</w:t>
            </w:r>
          </w:p>
        </w:tc>
      </w:tr>
      <w:tr>
        <w:tc>
          <w:tcPr>
            <w:tcW w:type="dxa" w:w="2088"/>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v2.0 (draft)</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28 August 2026</w:t>
            </w:r>
          </w:p>
        </w:tc>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Extended to all four divisions — added Advisory and Academy annexes; added division data-sensitivity summary (Part 1)</w:t>
            </w:r>
          </w:p>
        </w:tc>
      </w:tr>
    </w:tbl>
    <w:p>
      <w:pPr>
        <w:pStyle w:val="Heading2"/>
        <w:spacing w:after="110" w:before="240"/>
      </w:pPr>
      <w:r>
        <w:rPr>
          <w:rFonts w:ascii="Georgia" w:cs="Georgia" w:eastAsia="Georgia" w:hAnsi="Georgia"/>
          <w:b/>
          <w:bCs/>
          <w:color w:val="5B6BFA"/>
          <w:sz w:val="23"/>
          <w:szCs w:val="23"/>
        </w:rPr>
        <w:t xml:space="preserve">Key Compliance Checklist Before Publishing</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Register Z-GATE with NCSA as data controller/processor</w:t>
            </w:r>
          </w:p>
        </w:tc>
        <w:tc>
          <w:tcPr>
            <w:tcW w:type="dxa" w:w="3132"/>
            <w:tcBorders>
              <w:top w:val="single" w:color="D9D9D9" w:sz="4"/>
              <w:left w:val="single" w:color="D9D9D9" w:sz="4"/>
              <w:bottom w:val="single" w:color="D9D9D9" w:sz="4"/>
              <w:right w:val="single" w:color="D9D9D9" w:sz="4"/>
            </w:tcBorders>
            <w:shd w:fill="B8860B" w:color="auto" w:val="clear"/>
            <w:tcMar>
              <w:top w:type="dxa" w:w="90"/>
              <w:left w:type="dxa" w:w="120"/>
              <w:bottom w:type="dxa" w:w="90"/>
              <w:right w:type="dxa" w:w="120"/>
            </w:tcMar>
            <w:vAlign w:val="center"/>
          </w:tcPr>
          <w:p>
            <w:pPr>
              <w:jc w:val="center"/>
            </w:pPr>
            <w:r>
              <w:rPr>
                <w:rFonts w:ascii="Inter" w:cs="Inter" w:eastAsia="Inter" w:hAnsi="Inter"/>
                <w:b/>
                <w:bCs/>
                <w:i w:val="false"/>
                <w:iCs w:val="false"/>
                <w:color w:val="FFFFFF"/>
                <w:sz w:val="18"/>
                <w:szCs w:val="18"/>
              </w:rPr>
              <w:t xml:space="preserve">☐ Pending</w:t>
            </w:r>
          </w:p>
        </w:tc>
      </w:tr>
      <w:tr>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Designate and record a Data Protection Officer</w:t>
            </w:r>
          </w:p>
        </w:tc>
        <w:tc>
          <w:tcPr>
            <w:tcW w:type="dxa" w:w="3132"/>
            <w:tcBorders>
              <w:top w:val="single" w:color="D9D9D9" w:sz="4"/>
              <w:left w:val="single" w:color="D9D9D9" w:sz="4"/>
              <w:bottom w:val="single" w:color="D9D9D9" w:sz="4"/>
              <w:right w:val="single" w:color="D9D9D9" w:sz="4"/>
            </w:tcBorders>
            <w:shd w:fill="B8860B" w:color="auto" w:val="clear"/>
            <w:tcMar>
              <w:top w:type="dxa" w:w="90"/>
              <w:left w:type="dxa" w:w="120"/>
              <w:bottom w:type="dxa" w:w="90"/>
              <w:right w:type="dxa" w:w="120"/>
            </w:tcMar>
            <w:vAlign w:val="center"/>
          </w:tcPr>
          <w:p>
            <w:pPr>
              <w:jc w:val="center"/>
            </w:pPr>
            <w:r>
              <w:rPr>
                <w:rFonts w:ascii="Inter" w:cs="Inter" w:eastAsia="Inter" w:hAnsi="Inter"/>
                <w:b/>
                <w:bCs/>
                <w:i w:val="false"/>
                <w:iCs w:val="false"/>
                <w:color w:val="FFFFFF"/>
                <w:sz w:val="18"/>
                <w:szCs w:val="18"/>
              </w:rPr>
              <w:t xml:space="preserve">☐ Pending</w:t>
            </w:r>
          </w:p>
        </w:tc>
      </w:tr>
      <w:tr>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Confirm data-breach notification form/contacts (databreach@dpo.gov.rw)</w:t>
            </w:r>
          </w:p>
        </w:tc>
        <w:tc>
          <w:tcPr>
            <w:tcW w:type="dxa" w:w="3132"/>
            <w:tcBorders>
              <w:top w:val="single" w:color="D9D9D9" w:sz="4"/>
              <w:left w:val="single" w:color="D9D9D9" w:sz="4"/>
              <w:bottom w:val="single" w:color="D9D9D9" w:sz="4"/>
              <w:right w:val="single" w:color="D9D9D9" w:sz="4"/>
            </w:tcBorders>
            <w:shd w:fill="B8860B" w:color="auto" w:val="clear"/>
            <w:tcMar>
              <w:top w:type="dxa" w:w="90"/>
              <w:left w:type="dxa" w:w="120"/>
              <w:bottom w:type="dxa" w:w="90"/>
              <w:right w:type="dxa" w:w="120"/>
            </w:tcMar>
            <w:vAlign w:val="center"/>
          </w:tcPr>
          <w:p>
            <w:pPr>
              <w:jc w:val="center"/>
            </w:pPr>
            <w:r>
              <w:rPr>
                <w:rFonts w:ascii="Inter" w:cs="Inter" w:eastAsia="Inter" w:hAnsi="Inter"/>
                <w:b/>
                <w:bCs/>
                <w:i w:val="false"/>
                <w:iCs w:val="false"/>
                <w:color w:val="FFFFFF"/>
                <w:sz w:val="18"/>
                <w:szCs w:val="18"/>
              </w:rPr>
              <w:t xml:space="preserve">☐ Pending</w:t>
            </w:r>
          </w:p>
        </w:tc>
      </w:tr>
      <w:tr>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Confirm statutory retention period for Advisory tax/financial records with counsel</w:t>
            </w:r>
          </w:p>
        </w:tc>
        <w:tc>
          <w:tcPr>
            <w:tcW w:type="dxa" w:w="3132"/>
            <w:tcBorders>
              <w:top w:val="single" w:color="D9D9D9" w:sz="4"/>
              <w:left w:val="single" w:color="D9D9D9" w:sz="4"/>
              <w:bottom w:val="single" w:color="D9D9D9" w:sz="4"/>
              <w:right w:val="single" w:color="D9D9D9" w:sz="4"/>
            </w:tcBorders>
            <w:shd w:fill="B8860B" w:color="auto" w:val="clear"/>
            <w:tcMar>
              <w:top w:type="dxa" w:w="90"/>
              <w:left w:type="dxa" w:w="120"/>
              <w:bottom w:type="dxa" w:w="90"/>
              <w:right w:type="dxa" w:w="120"/>
            </w:tcMar>
            <w:vAlign w:val="center"/>
          </w:tcPr>
          <w:p>
            <w:pPr>
              <w:jc w:val="center"/>
            </w:pPr>
            <w:r>
              <w:rPr>
                <w:rFonts w:ascii="Inter" w:cs="Inter" w:eastAsia="Inter" w:hAnsi="Inter"/>
                <w:b/>
                <w:bCs/>
                <w:i w:val="false"/>
                <w:iCs w:val="false"/>
                <w:color w:val="FFFFFF"/>
                <w:sz w:val="18"/>
                <w:szCs w:val="18"/>
              </w:rPr>
              <w:t xml:space="preserve">☐ Pending</w:t>
            </w:r>
          </w:p>
        </w:tc>
      </w:tr>
      <w:tr>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Legal counsel review of this policy</w:t>
            </w:r>
          </w:p>
        </w:tc>
        <w:tc>
          <w:tcPr>
            <w:tcW w:type="dxa" w:w="3132"/>
            <w:tcBorders>
              <w:top w:val="single" w:color="D9D9D9" w:sz="4"/>
              <w:left w:val="single" w:color="D9D9D9" w:sz="4"/>
              <w:bottom w:val="single" w:color="D9D9D9" w:sz="4"/>
              <w:right w:val="single" w:color="D9D9D9" w:sz="4"/>
            </w:tcBorders>
            <w:shd w:fill="B8860B" w:color="auto" w:val="clear"/>
            <w:tcMar>
              <w:top w:type="dxa" w:w="90"/>
              <w:left w:type="dxa" w:w="120"/>
              <w:bottom w:type="dxa" w:w="90"/>
              <w:right w:type="dxa" w:w="120"/>
            </w:tcMar>
            <w:vAlign w:val="center"/>
          </w:tcPr>
          <w:p>
            <w:pPr>
              <w:jc w:val="center"/>
            </w:pPr>
            <w:r>
              <w:rPr>
                <w:rFonts w:ascii="Inter" w:cs="Inter" w:eastAsia="Inter" w:hAnsi="Inter"/>
                <w:b/>
                <w:bCs/>
                <w:i w:val="false"/>
                <w:iCs w:val="false"/>
                <w:color w:val="FFFFFF"/>
                <w:sz w:val="18"/>
                <w:szCs w:val="18"/>
              </w:rPr>
              <w:t xml:space="preserve">☐ Pending</w:t>
            </w:r>
          </w:p>
        </w:tc>
      </w:tr>
    </w:tbl>
    <w:p>
      <w:pPr>
        <w:spacing w:after="40" w:before="260"/>
      </w:pPr>
      <w:r>
        <w:rPr>
          <w:b/>
          <w:bCs/>
          <w:color w:val="0B0F1A"/>
          <w:sz w:val="20"/>
          <w:szCs w:val="20"/>
        </w:rPr>
        <w:t xml:space="preserve">Approved by</w:t>
      </w:r>
    </w:p>
    <w:p>
      <w:pPr>
        <w:spacing w:after="160"/>
      </w:pPr>
      <w:r>
        <w:rPr>
          <w:b/>
          <w:bCs/>
          <w:color w:val="0B0F1A"/>
          <w:sz w:val="19"/>
          <w:szCs w:val="19"/>
        </w:rPr>
        <w:t xml:space="preserve">Name: </w:t>
      </w:r>
      <w:r>
        <w:rPr>
          <w:color w:val="6B7280"/>
          <w:sz w:val="19"/>
          <w:szCs w:val="19"/>
        </w:rPr>
        <w:t xml:space="preserve">__________________________________</w:t>
      </w:r>
    </w:p>
    <w:p>
      <w:pPr>
        <w:spacing w:after="160"/>
      </w:pPr>
      <w:r>
        <w:rPr>
          <w:b/>
          <w:bCs/>
          <w:color w:val="0B0F1A"/>
          <w:sz w:val="19"/>
          <w:szCs w:val="19"/>
        </w:rPr>
        <w:t xml:space="preserve">Title (Managing Director): </w:t>
      </w:r>
      <w:r>
        <w:rPr>
          <w:color w:val="6B7280"/>
          <w:sz w:val="19"/>
          <w:szCs w:val="19"/>
        </w:rPr>
        <w:t xml:space="preserve">__________________________________</w:t>
      </w:r>
    </w:p>
    <w:p>
      <w:pPr>
        <w:spacing w:after="160"/>
      </w:pPr>
      <w:r>
        <w:rPr>
          <w:b/>
          <w:bCs/>
          <w:color w:val="0B0F1A"/>
          <w:sz w:val="19"/>
          <w:szCs w:val="19"/>
        </w:rPr>
        <w:t xml:space="preserve">Signature: </w:t>
      </w:r>
      <w:r>
        <w:rPr>
          <w:color w:val="6B7280"/>
          <w:sz w:val="19"/>
          <w:szCs w:val="19"/>
        </w:rPr>
        <w:t xml:space="preserve">__________________________________</w:t>
      </w:r>
    </w:p>
    <w:p>
      <w:pPr>
        <w:spacing w:after="160"/>
      </w:pPr>
      <w:r>
        <w:rPr>
          <w:b/>
          <w:bCs/>
          <w:color w:val="0B0F1A"/>
          <w:sz w:val="19"/>
          <w:szCs w:val="19"/>
        </w:rPr>
        <w:t xml:space="preserve">Date: </w:t>
      </w:r>
      <w:r>
        <w:rPr>
          <w:color w:val="6B7280"/>
          <w:sz w:val="19"/>
          <w:szCs w:val="19"/>
        </w:rPr>
        <w:t xml:space="preserve">__________________________________</w:t>
      </w:r>
    </w:p>
    <w:p>
      <w:pPr>
        <w:spacing w:after="120"/>
      </w:pPr>
      <w:r>
        <w:rPr>
          <w:i/>
          <w:iCs/>
          <w:color w:val="6B7280"/>
          <w:sz w:val="16"/>
          <w:szCs w:val="16"/>
        </w:rPr>
        <w:t xml:space="preserve">Prepared by Z-GATE's Business Project Development Desk in collaboration with its Advisory, Academy, Technology, Data, and Legal &amp; Compliance functions. Review with qualified Rwandan legal and IT-security counsel, and complete NCSA registration, before adoption.</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3"/>
        <w:szCs w:val="13"/>
      </w:rPr>
      <w:t xml:space="preserve">Template — not legal advice  ·  Page </w:t>
    </w:r>
    <w:r>
      <w:rPr>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pacing w:val="10"/>
        <w:sz w:val="13"/>
        <w:szCs w:val="13"/>
      </w:rPr>
      <w:t xml:space="preserve">Z-GATE LTD  ·  DATA PRIVACY &amp;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628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2026-08-27T10:36:22.991Z</dcterms:created>
  <dcterms:modified xsi:type="dcterms:W3CDTF">2026-08-27T10:36:22.991Z</dcterms:modified>
</cp:coreProperties>
</file>

<file path=docProps/custom.xml><?xml version="1.0" encoding="utf-8"?>
<Properties xmlns="http://schemas.openxmlformats.org/officeDocument/2006/custom-properties" xmlns:vt="http://schemas.openxmlformats.org/officeDocument/2006/docPropsVTypes"/>
</file>