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5B6BFA"/>
          <w:spacing w:val="30"/>
          <w:sz w:val="20"/>
          <w:szCs w:val="20"/>
        </w:rPr>
        <w:t xml:space="preserve">STRATEGIC PLANNING DOCUMENT</w:t>
      </w:r>
    </w:p>
    <w:p>
      <w:pPr>
        <w:spacing w:after="60" w:before="240"/>
        <w:jc w:val="center"/>
      </w:pPr>
      <w:r>
        <w:rPr>
          <w:rFonts w:ascii="Georgia" w:cs="Georgia" w:eastAsia="Georgia" w:hAnsi="Georgia"/>
          <w:b/>
          <w:bCs/>
          <w:color w:val="0B0F1A"/>
          <w:sz w:val="52"/>
          <w:szCs w:val="52"/>
        </w:rPr>
        <w:t xml:space="preserve">90-DAY BUSINESS PLAN</w:t>
      </w:r>
    </w:p>
    <w:p>
      <w:pPr>
        <w:spacing w:after="60"/>
        <w:jc w:val="center"/>
      </w:pPr>
      <w:r>
        <w:rPr>
          <w:rFonts w:ascii="Georgia" w:cs="Georgia" w:eastAsia="Georgia" w:hAnsi="Georgia"/>
          <w:b/>
          <w:bCs/>
          <w:color w:val="0B0F1A"/>
          <w:sz w:val="30"/>
          <w:szCs w:val="30"/>
        </w:rPr>
        <w:t xml:space="preserve">&amp; MARKETING / GO-TO-MARKET STRATEGY</w:t>
      </w:r>
    </w:p>
    <w:p>
      <w:pPr>
        <w:spacing w:after="420"/>
        <w:jc w:val="center"/>
      </w:pPr>
      <w:r>
        <w:rPr>
          <w:i/>
          <w:iCs/>
          <w:color w:val="34E0C9"/>
          <w:sz w:val="22"/>
          <w:szCs w:val="22"/>
        </w:rPr>
        <w:t xml:space="preserve">Z-GATE LTD  ·  Where Business Meets Technology</w:t>
      </w:r>
    </w:p>
    <w:tbl>
      <w:tblPr>
        <w:tblW w:type="dxa" w:w="10440"/>
        <w:jc w:val="center"/>
        <w:tblBorders>
          <w:top w:val="single" w:color="C9CCD6" w:sz="4"/>
          <w:left w:val="single" w:color="C9CCD6" w:sz="4"/>
          <w:bottom w:val="single" w:color="C9CCD6" w:sz="4"/>
          <w:right w:val="single" w:color="C9CCD6" w:sz="4"/>
          <w:insideH w:val="single" w:color="auto" w:sz="4"/>
          <w:insideV w:val="single" w:color="auto" w:sz="4"/>
        </w:tblBorders>
      </w:tblPr>
      <w:tblGrid>
        <w:gridCol w:w="100"/>
        <w:gridCol w:w="100"/>
      </w:tblGrid>
      <w:tr>
        <w:tc>
          <w:tcPr>
            <w:tcW w:type="dxa" w:w="3340"/>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color w:val="0B0F1A"/>
                <w:sz w:val="18"/>
                <w:szCs w:val="18"/>
              </w:rPr>
              <w:t xml:space="preserve">Scope</w:t>
            </w:r>
          </w:p>
        </w:tc>
        <w:tc>
          <w:tcPr>
            <w:tcW w:type="dxa" w:w="7099"/>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8"/>
                <w:szCs w:val="18"/>
              </w:rPr>
              <w:t xml:space="preserve">Kigali launch (Nyarugenge, Gasabo, Kicukiro) → countryside phase 2</w:t>
            </w:r>
          </w:p>
        </w:tc>
      </w:tr>
      <w:tr>
        <w:tc>
          <w:tcPr>
            <w:tcW w:type="dxa" w:w="3340"/>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color w:val="0B0F1A"/>
                <w:sz w:val="18"/>
                <w:szCs w:val="18"/>
              </w:rPr>
              <w:t xml:space="preserve">Horizon</w:t>
            </w:r>
          </w:p>
        </w:tc>
        <w:tc>
          <w:tcPr>
            <w:tcW w:type="dxa" w:w="7099"/>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8"/>
                <w:szCs w:val="18"/>
              </w:rPr>
              <w:t xml:space="preserve">First 90 days from registration, 19 August 2026</w:t>
            </w:r>
          </w:p>
        </w:tc>
      </w:tr>
      <w:tr>
        <w:tc>
          <w:tcPr>
            <w:tcW w:type="dxa" w:w="3340"/>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color w:val="0B0F1A"/>
                <w:sz w:val="18"/>
                <w:szCs w:val="18"/>
              </w:rPr>
              <w:t xml:space="preserve">Divisions</w:t>
            </w:r>
          </w:p>
        </w:tc>
        <w:tc>
          <w:tcPr>
            <w:tcW w:type="dxa" w:w="7099"/>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8"/>
                <w:szCs w:val="18"/>
              </w:rPr>
              <w:t xml:space="preserve">Advisory · Academy · Tech · Data</w:t>
            </w:r>
          </w:p>
        </w:tc>
      </w:tr>
      <w:tr>
        <w:tc>
          <w:tcPr>
            <w:tcW w:type="dxa" w:w="3340"/>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color w:val="0B0F1A"/>
                <w:sz w:val="18"/>
                <w:szCs w:val="18"/>
              </w:rPr>
              <w:t xml:space="preserve">Prepared By</w:t>
            </w:r>
          </w:p>
        </w:tc>
        <w:tc>
          <w:tcPr>
            <w:tcW w:type="dxa" w:w="7099"/>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8"/>
                <w:szCs w:val="18"/>
              </w:rPr>
              <w:t xml:space="preserve">Z-GATE Business Project Development Desk</w:t>
            </w:r>
          </w:p>
        </w:tc>
      </w:tr>
      <w:tr>
        <w:tc>
          <w:tcPr>
            <w:tcW w:type="dxa" w:w="3340"/>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color w:val="0B0F1A"/>
                <w:sz w:val="18"/>
                <w:szCs w:val="18"/>
              </w:rPr>
              <w:t xml:space="preserve">Date Issued</w:t>
            </w:r>
          </w:p>
        </w:tc>
        <w:tc>
          <w:tcPr>
            <w:tcW w:type="dxa" w:w="7099"/>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8"/>
                <w:szCs w:val="18"/>
              </w:rPr>
              <w:t xml:space="preserve">25 August 2026</w:t>
            </w:r>
          </w:p>
        </w:tc>
      </w:tr>
    </w:tbl>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440"/>
            <w:shd w:fill="0B0F1A" w:color="auto" w:val="clear"/>
            <w:tcMar>
              <w:top w:type="dxa" w:w="260"/>
              <w:left w:type="dxa" w:w="260"/>
              <w:bottom w:type="dxa" w:w="260"/>
              <w:right w:type="dxa" w:w="260"/>
            </w:tcMar>
          </w:tcPr>
          <w:p>
            <w:r>
              <w:rPr>
                <w:b/>
                <w:bCs/>
                <w:color w:val="34E0C9"/>
                <w:spacing w:val="20"/>
                <w:sz w:val="20"/>
                <w:szCs w:val="20"/>
              </w:rPr>
              <w:t xml:space="preserve">PART A</w:t>
            </w:r>
          </w:p>
          <w:p>
            <w:pPr>
              <w:spacing w:before="80"/>
            </w:pPr>
            <w:r>
              <w:rPr>
                <w:rFonts w:ascii="Georgia" w:cs="Georgia" w:eastAsia="Georgia" w:hAnsi="Georgia"/>
                <w:b/>
                <w:bCs/>
                <w:color w:val="FFFFFF"/>
                <w:sz w:val="34"/>
                <w:szCs w:val="34"/>
              </w:rPr>
              <w:t xml:space="preserve">Full Business Plan — First 90 Days</w:t>
            </w:r>
          </w:p>
        </w:tc>
      </w:tr>
    </w:tbl>
    <w:p>
      <w:pPr>
        <w:spacing w:after="100"/>
      </w:pPr>
    </w:p>
    <w:p>
      <w:pPr>
        <w:spacing w:after="60" w:before="200"/>
      </w:pPr>
      <w:r>
        <w:rPr>
          <w:b/>
          <w:bCs/>
          <w:color w:val="5B6BFA"/>
          <w:sz w:val="20"/>
          <w:szCs w:val="20"/>
        </w:rPr>
        <w:t xml:space="preserve">— </w:t>
      </w:r>
      <w:r>
        <w:rPr>
          <w:b/>
          <w:bCs/>
          <w:color w:val="5B6BFA"/>
          <w:spacing w:val="20"/>
          <w:sz w:val="20"/>
          <w:szCs w:val="20"/>
        </w:rPr>
        <w:t xml:space="preserve">A1 — EXECUTIVE SUMMARY</w:t>
      </w:r>
    </w:p>
    <w:p>
      <w:pPr>
        <w:pStyle w:val="Heading1"/>
        <w:pBdr>
          <w:bottom w:val="single" w:color="0B0F1A" w:sz="12" w:space="6"/>
        </w:pBdr>
        <w:spacing w:after="150" w:before="380"/>
      </w:pPr>
      <w:r>
        <w:rPr>
          <w:rFonts w:ascii="Georgia" w:cs="Georgia" w:eastAsia="Georgia" w:hAnsi="Georgia"/>
          <w:b/>
          <w:bCs/>
          <w:color w:val="0B0F1A"/>
          <w:sz w:val="30"/>
          <w:szCs w:val="30"/>
        </w:rPr>
        <w:t xml:space="preserve">Executive Summary</w:t>
      </w:r>
    </w:p>
    <w:p>
      <w:pPr>
        <w:spacing w:after="130"/>
      </w:pPr>
      <w:r>
        <w:rPr>
          <w:color w:val="26282E"/>
          <w:sz w:val="19"/>
          <w:szCs w:val="19"/>
        </w:rPr>
        <w:t xml:space="preserve">Z-GATE LTD enters the market with its main registered activity already licensed — advisory and representation before tax authorities — and three complementary divisions (Academy, Tech, Data) ready to be sequenced behind it. The first 90 days are built around one insight from the research: Rwandan SMEs are formally required to use Electronic Billing Machines for every sale, yet 59% report difficulty operating them and 51% cite affordability as a barrier. That gap is Z-GATE Advisory's flagship entry point, and it opens the door for Academy, Tech, and Data to follow inside the same client relationship.</w:t>
      </w:r>
    </w:p>
    <w:p>
      <w:pPr>
        <w:spacing w:after="130"/>
      </w:pPr>
      <w:r>
        <w:rPr>
          <w:color w:val="26282E"/>
          <w:sz w:val="19"/>
          <w:szCs w:val="19"/>
        </w:rPr>
        <w:t xml:space="preserve">Target by Day 90: Advisory carrying 10 retainer clients, Academy running its first two cohorts, Tech and Data live with internal reference builds and first external clients in progress. Everything below is sequenced to reach that point without overextending a single-founder company with no recorded employees at registration.</w:t>
      </w:r>
    </w:p>
    <w:p>
      <w:pPr>
        <w:spacing w:after="60" w:before="200"/>
      </w:pPr>
      <w:r>
        <w:rPr>
          <w:b/>
          <w:bCs/>
          <w:color w:val="5B6BFA"/>
          <w:sz w:val="20"/>
          <w:szCs w:val="20"/>
        </w:rPr>
        <w:t xml:space="preserve">— </w:t>
      </w:r>
      <w:r>
        <w:rPr>
          <w:b/>
          <w:bCs/>
          <w:color w:val="5B6BFA"/>
          <w:spacing w:val="20"/>
          <w:sz w:val="20"/>
          <w:szCs w:val="20"/>
        </w:rPr>
        <w:t xml:space="preserve">A2 — MARKET CONTEXT</w:t>
      </w:r>
    </w:p>
    <w:p>
      <w:pPr>
        <w:pStyle w:val="Heading1"/>
        <w:pBdr>
          <w:bottom w:val="single" w:color="0B0F1A" w:sz="12" w:space="6"/>
        </w:pBdr>
        <w:spacing w:after="150" w:before="380"/>
      </w:pPr>
      <w:r>
        <w:rPr>
          <w:rFonts w:ascii="Georgia" w:cs="Georgia" w:eastAsia="Georgia" w:hAnsi="Georgia"/>
          <w:b/>
          <w:bCs/>
          <w:color w:val="0B0F1A"/>
          <w:sz w:val="30"/>
          <w:szCs w:val="30"/>
        </w:rPr>
        <w:t xml:space="preserve">Market Context &amp; Research Findings</w:t>
      </w:r>
    </w:p>
    <w:p>
      <w:pPr>
        <w:spacing w:after="130"/>
      </w:pPr>
      <w:r>
        <w:rPr>
          <w:color w:val="26282E"/>
          <w:sz w:val="19"/>
          <w:szCs w:val="19"/>
        </w:rPr>
        <w:t xml:space="preserve">Rwanda's MSME sector accounts for 98% of all registered businesses, employs over 2.5 million people, and contributes roughly a third of national GDP — the addressable market for a compliance-and-systems company is broad and structurally central to the economy. RDB's 2025 Annual Report recorded USD 2.62 billion in registered investment across 799 projects, up from 612 in 2024, with continued digitization of the One Stop Centre's 400+ services.</w:t>
      </w:r>
    </w:p>
    <w:p>
      <w:pPr>
        <w:pStyle w:val="Heading2"/>
        <w:spacing w:after="110" w:before="240"/>
      </w:pPr>
      <w:r>
        <w:rPr>
          <w:rFonts w:ascii="Georgia" w:cs="Georgia" w:eastAsia="Georgia" w:hAnsi="Georgia"/>
          <w:b/>
          <w:bCs/>
          <w:color w:val="5B6BFA"/>
          <w:sz w:val="23"/>
          <w:szCs w:val="23"/>
        </w:rPr>
        <w:t xml:space="preserve">Kigali, in numbers</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Layout w:type="fixed"/>
      </w:tblPr>
      <w:tblGrid>
        <w:gridCol w:w="100"/>
        <w:gridCol w:w="100"/>
      </w:tblGrid>
      <w:tr>
        <w:tc>
          <w:tcPr>
            <w:tcW w:type="dxa" w:w="5220"/>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Metric</w:t>
            </w:r>
          </w:p>
        </w:tc>
        <w:tc>
          <w:tcPr>
            <w:tcW w:type="dxa" w:w="5220"/>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center"/>
            </w:pPr>
            <w:r>
              <w:rPr>
                <w:rFonts w:ascii="Inter" w:cs="Inter" w:eastAsia="Inter" w:hAnsi="Inter"/>
                <w:b/>
                <w:bCs/>
                <w:color w:val="FFFFFF"/>
                <w:sz w:val="18"/>
                <w:szCs w:val="18"/>
              </w:rPr>
              <w:t xml:space="preserve">Figure</w:t>
            </w:r>
          </w:p>
        </w:tc>
      </w:tr>
      <w:tr>
        <w:tc>
          <w:tcPr>
            <w:tcW w:type="dxa" w:w="522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8"/>
                <w:szCs w:val="18"/>
              </w:rPr>
              <w:t xml:space="preserve">Kigali population (2026 est.)</w:t>
            </w:r>
          </w:p>
        </w:tc>
        <w:tc>
          <w:tcPr>
            <w:tcW w:type="dxa" w:w="522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center"/>
            </w:pPr>
            <w:r>
              <w:rPr>
                <w:rFonts w:ascii="Inter" w:cs="Inter" w:eastAsia="Inter" w:hAnsi="Inter"/>
                <w:b/>
                <w:bCs/>
                <w:color w:val="0B0F1A"/>
                <w:sz w:val="18"/>
                <w:szCs w:val="18"/>
              </w:rPr>
              <w:t xml:space="preserve">≈ 2.07 million</w:t>
            </w:r>
          </w:p>
        </w:tc>
      </w:tr>
      <w:tr>
        <w:tc>
          <w:tcPr>
            <w:tcW w:type="dxa" w:w="522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8"/>
                <w:szCs w:val="18"/>
              </w:rPr>
              <w:t xml:space="preserve">Internet users, Rwanda (end 2025)</w:t>
            </w:r>
          </w:p>
        </w:tc>
        <w:tc>
          <w:tcPr>
            <w:tcW w:type="dxa" w:w="522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center"/>
            </w:pPr>
            <w:r>
              <w:rPr>
                <w:rFonts w:ascii="Inter" w:cs="Inter" w:eastAsia="Inter" w:hAnsi="Inter"/>
                <w:b w:val="false"/>
                <w:bCs w:val="false"/>
                <w:color w:val="0B0F1A"/>
                <w:sz w:val="18"/>
                <w:szCs w:val="18"/>
              </w:rPr>
              <w:t xml:space="preserve">5.01M (34.2% penetration)</w:t>
            </w:r>
          </w:p>
        </w:tc>
      </w:tr>
      <w:tr>
        <w:tc>
          <w:tcPr>
            <w:tcW w:type="dxa" w:w="522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8"/>
                <w:szCs w:val="18"/>
              </w:rPr>
              <w:t xml:space="preserve">Mobile connections, Rwanda</w:t>
            </w:r>
          </w:p>
        </w:tc>
        <w:tc>
          <w:tcPr>
            <w:tcW w:type="dxa" w:w="522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center"/>
            </w:pPr>
            <w:r>
              <w:rPr>
                <w:rFonts w:ascii="Inter" w:cs="Inter" w:eastAsia="Inter" w:hAnsi="Inter"/>
                <w:b w:val="false"/>
                <w:bCs w:val="false"/>
                <w:color w:val="0B0F1A"/>
                <w:sz w:val="18"/>
                <w:szCs w:val="18"/>
              </w:rPr>
              <w:t xml:space="preserve">13.0M (88.7% of population)</w:t>
            </w:r>
          </w:p>
        </w:tc>
      </w:tr>
      <w:tr>
        <w:tc>
          <w:tcPr>
            <w:tcW w:type="dxa" w:w="522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8"/>
                <w:szCs w:val="18"/>
              </w:rPr>
              <w:t xml:space="preserve">SMEs reporting difficulty operating EBM</w:t>
            </w:r>
          </w:p>
        </w:tc>
        <w:tc>
          <w:tcPr>
            <w:tcW w:type="dxa" w:w="522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center"/>
            </w:pPr>
            <w:r>
              <w:rPr>
                <w:rFonts w:ascii="Inter" w:cs="Inter" w:eastAsia="Inter" w:hAnsi="Inter"/>
                <w:b/>
                <w:bCs/>
                <w:color w:val="C0392B"/>
                <w:sz w:val="18"/>
                <w:szCs w:val="18"/>
              </w:rPr>
              <w:t xml:space="preserve">59%</w:t>
            </w:r>
          </w:p>
        </w:tc>
      </w:tr>
      <w:tr>
        <w:tc>
          <w:tcPr>
            <w:tcW w:type="dxa" w:w="522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8"/>
                <w:szCs w:val="18"/>
              </w:rPr>
              <w:t xml:space="preserve">SMEs citing EBM affordability concerns</w:t>
            </w:r>
          </w:p>
        </w:tc>
        <w:tc>
          <w:tcPr>
            <w:tcW w:type="dxa" w:w="522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center"/>
            </w:pPr>
            <w:r>
              <w:rPr>
                <w:rFonts w:ascii="Inter" w:cs="Inter" w:eastAsia="Inter" w:hAnsi="Inter"/>
                <w:b/>
                <w:bCs/>
                <w:color w:val="C0392B"/>
                <w:sz w:val="18"/>
                <w:szCs w:val="18"/>
              </w:rPr>
              <w:t xml:space="preserve">51%</w:t>
            </w:r>
          </w:p>
        </w:tc>
      </w:tr>
      <w:tr>
        <w:tc>
          <w:tcPr>
            <w:tcW w:type="dxa" w:w="522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8"/>
                <w:szCs w:val="18"/>
              </w:rPr>
              <w:t xml:space="preserve">Commercial buildings by district (sample)</w:t>
            </w:r>
          </w:p>
        </w:tc>
        <w:tc>
          <w:tcPr>
            <w:tcW w:type="dxa" w:w="522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center"/>
            </w:pPr>
            <w:r>
              <w:rPr>
                <w:rFonts w:ascii="Inter" w:cs="Inter" w:eastAsia="Inter" w:hAnsi="Inter"/>
                <w:b w:val="false"/>
                <w:bCs w:val="false"/>
                <w:color w:val="0B0F1A"/>
                <w:sz w:val="18"/>
                <w:szCs w:val="18"/>
              </w:rPr>
              <w:t xml:space="preserve">Gasabo 55.9% · Nyarugenge 37.1% · Kicukiro 7.0%</w:t>
            </w:r>
          </w:p>
        </w:tc>
      </w:tr>
    </w:tbl>
    <w:p>
      <w:pPr>
        <w:spacing w:after="130"/>
      </w:pPr>
      <w:r>
        <w:rPr>
          <w:i/>
          <w:iCs/>
          <w:color w:val="6B7280"/>
          <w:sz w:val="16"/>
          <w:szCs w:val="16"/>
        </w:rPr>
        <w:t xml:space="preserve">Sources: RDB 2025 Annual Report; Ministry of Trade &amp; Industry; DataReportal Digital 2026 Rwanda; peer-reviewed EBM/VAT compliance studies (Rwanda SMEs); IGC Kigali commercial real estate study.</w:t>
      </w:r>
    </w:p>
    <w:p>
      <w:r>
        <w:br w:type="page"/>
      </w:r>
    </w:p>
    <w:p>
      <w:pPr>
        <w:spacing w:after="60" w:before="200"/>
      </w:pPr>
      <w:r>
        <w:rPr>
          <w:b/>
          <w:bCs/>
          <w:color w:val="5B6BFA"/>
          <w:sz w:val="20"/>
          <w:szCs w:val="20"/>
        </w:rPr>
        <w:t xml:space="preserve">— </w:t>
      </w:r>
      <w:r>
        <w:rPr>
          <w:b/>
          <w:bCs/>
          <w:color w:val="5B6BFA"/>
          <w:spacing w:val="20"/>
          <w:sz w:val="20"/>
          <w:szCs w:val="20"/>
        </w:rPr>
        <w:t xml:space="preserve">A3 — TARGET SEGMENTS</w:t>
      </w:r>
    </w:p>
    <w:p>
      <w:pPr>
        <w:pStyle w:val="Heading1"/>
        <w:pBdr>
          <w:bottom w:val="single" w:color="0B0F1A" w:sz="12" w:space="6"/>
        </w:pBdr>
        <w:spacing w:after="150" w:before="380"/>
      </w:pPr>
      <w:r>
        <w:rPr>
          <w:rFonts w:ascii="Georgia" w:cs="Georgia" w:eastAsia="Georgia" w:hAnsi="Georgia"/>
          <w:b/>
          <w:bCs/>
          <w:color w:val="0B0F1A"/>
          <w:sz w:val="30"/>
          <w:szCs w:val="30"/>
        </w:rPr>
        <w:t xml:space="preserve">Target Customer Segments</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Layout w:type="fixed"/>
      </w:tblPr>
      <w:tblGrid>
        <w:gridCol w:w="100"/>
        <w:gridCol w:w="100"/>
        <w:gridCol w:w="100"/>
        <w:gridCol w:w="100"/>
      </w:tblGrid>
      <w:tr>
        <w:tc>
          <w:tcPr>
            <w:tcW w:type="dxa" w:w="2923"/>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Segment</w:t>
            </w:r>
          </w:p>
        </w:tc>
        <w:tc>
          <w:tcPr>
            <w:tcW w:type="dxa" w:w="2505"/>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Where</w:t>
            </w:r>
          </w:p>
        </w:tc>
        <w:tc>
          <w:tcPr>
            <w:tcW w:type="dxa" w:w="2923"/>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Core Need</w:t>
            </w:r>
          </w:p>
        </w:tc>
        <w:tc>
          <w:tcPr>
            <w:tcW w:type="dxa" w:w="2088"/>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center"/>
            </w:pPr>
            <w:r>
              <w:rPr>
                <w:rFonts w:ascii="Inter" w:cs="Inter" w:eastAsia="Inter" w:hAnsi="Inter"/>
                <w:b/>
                <w:bCs/>
                <w:color w:val="FFFFFF"/>
                <w:sz w:val="18"/>
                <w:szCs w:val="18"/>
              </w:rPr>
              <w:t xml:space="preserve">Division</w:t>
            </w:r>
          </w:p>
        </w:tc>
      </w:tr>
      <w:tr>
        <w:tc>
          <w:tcPr>
            <w:tcW w:type="dxa" w:w="292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7"/>
                <w:szCs w:val="17"/>
              </w:rPr>
              <w:t xml:space="preserve">Formal micro &amp; small traders</w:t>
            </w:r>
          </w:p>
        </w:tc>
        <w:tc>
          <w:tcPr>
            <w:tcW w:type="dxa" w:w="2505"/>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7"/>
                <w:szCs w:val="17"/>
              </w:rPr>
              <w:t xml:space="preserve">Nyarugenge CBD, Kimironko</w:t>
            </w:r>
          </w:p>
        </w:tc>
        <w:tc>
          <w:tcPr>
            <w:tcW w:type="dxa" w:w="292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7"/>
                <w:szCs w:val="17"/>
              </w:rPr>
              <w:t xml:space="preserve">EBM operation, VAT filing, bookkeeping</w:t>
            </w:r>
          </w:p>
        </w:tc>
        <w:tc>
          <w:tcPr>
            <w:tcW w:type="dxa" w:w="2088"/>
            <w:tcBorders>
              <w:top w:val="single" w:color="D9D9D9" w:sz="4"/>
              <w:left w:val="single" w:color="D9D9D9" w:sz="4"/>
              <w:bottom w:val="single" w:color="D9D9D9" w:sz="4"/>
              <w:right w:val="single" w:color="D9D9D9" w:sz="4"/>
            </w:tcBorders>
            <w:shd w:fill="C9A15A" w:color="auto" w:val="clear"/>
            <w:tcMar>
              <w:top w:type="dxa" w:w="90"/>
              <w:left w:type="dxa" w:w="120"/>
              <w:bottom w:type="dxa" w:w="90"/>
              <w:right w:type="dxa" w:w="120"/>
            </w:tcMar>
            <w:vAlign w:val="center"/>
          </w:tcPr>
          <w:p>
            <w:pPr>
              <w:jc w:val="center"/>
            </w:pPr>
            <w:r>
              <w:rPr>
                <w:rFonts w:ascii="Inter" w:cs="Inter" w:eastAsia="Inter" w:hAnsi="Inter"/>
                <w:b w:val="false"/>
                <w:bCs w:val="false"/>
                <w:color w:val="FFFFFF"/>
                <w:sz w:val="15"/>
                <w:szCs w:val="15"/>
              </w:rPr>
              <w:t xml:space="preserve">Advisory</w:t>
            </w:r>
          </w:p>
        </w:tc>
      </w:tr>
      <w:tr>
        <w:tc>
          <w:tcPr>
            <w:tcW w:type="dxa" w:w="292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7"/>
                <w:szCs w:val="17"/>
              </w:rPr>
              <w:t xml:space="preserve">Mid-size firms &amp; corporates</w:t>
            </w:r>
          </w:p>
        </w:tc>
        <w:tc>
          <w:tcPr>
            <w:tcW w:type="dxa" w:w="2505"/>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7"/>
                <w:szCs w:val="17"/>
              </w:rPr>
              <w:t xml:space="preserve">Kacyiru, Kimihurura, Remera (Gasabo)</w:t>
            </w:r>
          </w:p>
        </w:tc>
        <w:tc>
          <w:tcPr>
            <w:tcW w:type="dxa" w:w="292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7"/>
                <w:szCs w:val="17"/>
              </w:rPr>
              <w:t xml:space="preserve">Bundled advisory + systems, outsourced reporting</w:t>
            </w:r>
          </w:p>
        </w:tc>
        <w:tc>
          <w:tcPr>
            <w:tcW w:type="dxa" w:w="2088"/>
            <w:tcBorders>
              <w:top w:val="single" w:color="D9D9D9" w:sz="4"/>
              <w:left w:val="single" w:color="D9D9D9" w:sz="4"/>
              <w:bottom w:val="single" w:color="D9D9D9" w:sz="4"/>
              <w:right w:val="single" w:color="D9D9D9" w:sz="4"/>
            </w:tcBorders>
            <w:shd w:fill="C9A15A" w:color="auto" w:val="clear"/>
            <w:tcMar>
              <w:top w:type="dxa" w:w="90"/>
              <w:left w:type="dxa" w:w="120"/>
              <w:bottom w:type="dxa" w:w="90"/>
              <w:right w:type="dxa" w:w="120"/>
            </w:tcMar>
            <w:vAlign w:val="center"/>
          </w:tcPr>
          <w:p>
            <w:pPr>
              <w:jc w:val="center"/>
            </w:pPr>
            <w:r>
              <w:rPr>
                <w:rFonts w:ascii="Inter" w:cs="Inter" w:eastAsia="Inter" w:hAnsi="Inter"/>
                <w:b w:val="false"/>
                <w:bCs w:val="false"/>
                <w:color w:val="FFFFFF"/>
                <w:sz w:val="15"/>
                <w:szCs w:val="15"/>
              </w:rPr>
              <w:t xml:space="preserve">Advisory + Tech + Data</w:t>
            </w:r>
          </w:p>
        </w:tc>
      </w:tr>
      <w:tr>
        <w:tc>
          <w:tcPr>
            <w:tcW w:type="dxa" w:w="292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7"/>
                <w:szCs w:val="17"/>
              </w:rPr>
              <w:t xml:space="preserve">Youth &amp; career-changers (18–24, largest online demo)</w:t>
            </w:r>
          </w:p>
        </w:tc>
        <w:tc>
          <w:tcPr>
            <w:tcW w:type="dxa" w:w="2505"/>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7"/>
                <w:szCs w:val="17"/>
              </w:rPr>
              <w:t xml:space="preserve">Kigali-wide, Facebook/Instagram-heavy</w:t>
            </w:r>
          </w:p>
        </w:tc>
        <w:tc>
          <w:tcPr>
            <w:tcW w:type="dxa" w:w="292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7"/>
                <w:szCs w:val="17"/>
              </w:rPr>
              <w:t xml:space="preserve">Job-ready computer &amp; data skills</w:t>
            </w:r>
          </w:p>
        </w:tc>
        <w:tc>
          <w:tcPr>
            <w:tcW w:type="dxa" w:w="2088"/>
            <w:tcBorders>
              <w:top w:val="single" w:color="D9D9D9" w:sz="4"/>
              <w:left w:val="single" w:color="D9D9D9" w:sz="4"/>
              <w:bottom w:val="single" w:color="D9D9D9" w:sz="4"/>
              <w:right w:val="single" w:color="D9D9D9" w:sz="4"/>
            </w:tcBorders>
            <w:shd w:fill="3FAE7A" w:color="auto" w:val="clear"/>
            <w:tcMar>
              <w:top w:type="dxa" w:w="90"/>
              <w:left w:type="dxa" w:w="120"/>
              <w:bottom w:type="dxa" w:w="90"/>
              <w:right w:type="dxa" w:w="120"/>
            </w:tcMar>
            <w:vAlign w:val="center"/>
          </w:tcPr>
          <w:p>
            <w:pPr>
              <w:jc w:val="center"/>
            </w:pPr>
            <w:r>
              <w:rPr>
                <w:rFonts w:ascii="Inter" w:cs="Inter" w:eastAsia="Inter" w:hAnsi="Inter"/>
                <w:b w:val="false"/>
                <w:bCs w:val="false"/>
                <w:color w:val="FFFFFF"/>
                <w:sz w:val="15"/>
                <w:szCs w:val="15"/>
              </w:rPr>
              <w:t xml:space="preserve">Academy</w:t>
            </w:r>
          </w:p>
        </w:tc>
      </w:tr>
      <w:tr>
        <w:tc>
          <w:tcPr>
            <w:tcW w:type="dxa" w:w="292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7"/>
                <w:szCs w:val="17"/>
              </w:rPr>
              <w:t xml:space="preserve">NGOs &amp; SMEs with manual records</w:t>
            </w:r>
          </w:p>
        </w:tc>
        <w:tc>
          <w:tcPr>
            <w:tcW w:type="dxa" w:w="2505"/>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7"/>
                <w:szCs w:val="17"/>
              </w:rPr>
              <w:t xml:space="preserve">Kigali-wide</w:t>
            </w:r>
          </w:p>
        </w:tc>
        <w:tc>
          <w:tcPr>
            <w:tcW w:type="dxa" w:w="292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7"/>
                <w:szCs w:val="17"/>
              </w:rPr>
              <w:t xml:space="preserve">Data entry, processing, reporting</w:t>
            </w:r>
          </w:p>
        </w:tc>
        <w:tc>
          <w:tcPr>
            <w:tcW w:type="dxa" w:w="2088"/>
            <w:tcBorders>
              <w:top w:val="single" w:color="D9D9D9" w:sz="4"/>
              <w:left w:val="single" w:color="D9D9D9" w:sz="4"/>
              <w:bottom w:val="single" w:color="D9D9D9" w:sz="4"/>
              <w:right w:val="single" w:color="D9D9D9" w:sz="4"/>
            </w:tcBorders>
            <w:shd w:fill="A85CF6" w:color="auto" w:val="clear"/>
            <w:tcMar>
              <w:top w:type="dxa" w:w="90"/>
              <w:left w:type="dxa" w:w="120"/>
              <w:bottom w:type="dxa" w:w="90"/>
              <w:right w:type="dxa" w:w="120"/>
            </w:tcMar>
            <w:vAlign w:val="center"/>
          </w:tcPr>
          <w:p>
            <w:pPr>
              <w:jc w:val="center"/>
            </w:pPr>
            <w:r>
              <w:rPr>
                <w:rFonts w:ascii="Inter" w:cs="Inter" w:eastAsia="Inter" w:hAnsi="Inter"/>
                <w:b w:val="false"/>
                <w:bCs w:val="false"/>
                <w:color w:val="FFFFFF"/>
                <w:sz w:val="15"/>
                <w:szCs w:val="15"/>
              </w:rPr>
              <w:t xml:space="preserve">Data</w:t>
            </w:r>
          </w:p>
        </w:tc>
      </w:tr>
    </w:tbl>
    <w:p>
      <w:pPr>
        <w:spacing w:after="60" w:before="200"/>
      </w:pPr>
      <w:r>
        <w:rPr>
          <w:b/>
          <w:bCs/>
          <w:color w:val="5B6BFA"/>
          <w:sz w:val="20"/>
          <w:szCs w:val="20"/>
        </w:rPr>
        <w:t xml:space="preserve">— </w:t>
      </w:r>
      <w:r>
        <w:rPr>
          <w:b/>
          <w:bCs/>
          <w:color w:val="5B6BFA"/>
          <w:spacing w:val="20"/>
          <w:sz w:val="20"/>
          <w:szCs w:val="20"/>
        </w:rPr>
        <w:t xml:space="preserve">A4 — COMPETITIVE LANDSCAPE</w:t>
      </w:r>
    </w:p>
    <w:p>
      <w:pPr>
        <w:pStyle w:val="Heading1"/>
        <w:pBdr>
          <w:bottom w:val="single" w:color="0B0F1A" w:sz="12" w:space="6"/>
        </w:pBdr>
        <w:spacing w:after="150" w:before="380"/>
      </w:pPr>
      <w:r>
        <w:rPr>
          <w:rFonts w:ascii="Georgia" w:cs="Georgia" w:eastAsia="Georgia" w:hAnsi="Georgia"/>
          <w:b/>
          <w:bCs/>
          <w:color w:val="0B0F1A"/>
          <w:sz w:val="30"/>
          <w:szCs w:val="30"/>
        </w:rPr>
        <w:t xml:space="preserve">Competitive Landscape</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Layout w:type="fixed"/>
      </w:tblPr>
      <w:tblGrid>
        <w:gridCol w:w="100"/>
        <w:gridCol w:w="100"/>
        <w:gridCol w:w="100"/>
        <w:gridCol w:w="100"/>
        <w:gridCol w:w="100"/>
      </w:tblGrid>
      <w:tr>
        <w:tc>
          <w:tcPr>
            <w:tcW w:type="dxa" w:w="2505"/>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Player</w:t>
            </w:r>
          </w:p>
        </w:tc>
        <w:tc>
          <w:tcPr>
            <w:tcW w:type="dxa" w:w="1879"/>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Serves</w:t>
            </w:r>
          </w:p>
        </w:tc>
        <w:tc>
          <w:tcPr>
            <w:tcW w:type="dxa" w:w="1252"/>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center"/>
            </w:pPr>
            <w:r>
              <w:rPr>
                <w:rFonts w:ascii="Inter" w:cs="Inter" w:eastAsia="Inter" w:hAnsi="Inter"/>
                <w:b/>
                <w:bCs/>
                <w:color w:val="FFFFFF"/>
                <w:sz w:val="18"/>
                <w:szCs w:val="18"/>
              </w:rPr>
              <w:t xml:space="preserve">Price Tier</w:t>
            </w:r>
          </w:p>
        </w:tc>
        <w:tc>
          <w:tcPr>
            <w:tcW w:type="dxa" w:w="2401"/>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Strength</w:t>
            </w:r>
          </w:p>
        </w:tc>
        <w:tc>
          <w:tcPr>
            <w:tcW w:type="dxa" w:w="2401"/>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Gap Z-GATE Fills</w:t>
            </w:r>
          </w:p>
        </w:tc>
      </w:tr>
      <w:tr>
        <w:tc>
          <w:tcPr>
            <w:tcW w:type="dxa" w:w="2505"/>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bCs/>
                <w:color w:val="0B0F1A"/>
                <w:sz w:val="15"/>
                <w:szCs w:val="15"/>
              </w:rPr>
              <w:t xml:space="preserve">Big 4 (PwC, KPMG East Africa)</w:t>
            </w:r>
          </w:p>
        </w:tc>
        <w:tc>
          <w:tcPr>
            <w:tcW w:type="dxa" w:w="1879"/>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Large corporates, multinationals</w:t>
            </w:r>
          </w:p>
        </w:tc>
        <w:tc>
          <w:tcPr>
            <w:tcW w:type="dxa" w:w="125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center"/>
            </w:pPr>
            <w:r>
              <w:rPr>
                <w:rFonts w:ascii="Inter" w:cs="Inter" w:eastAsia="Inter" w:hAnsi="Inter"/>
                <w:b w:val="false"/>
                <w:bCs w:val="false"/>
                <w:color w:val="0B0F1A"/>
                <w:sz w:val="15"/>
                <w:szCs w:val="15"/>
              </w:rPr>
              <w:t xml:space="preserve">High</w:t>
            </w:r>
          </w:p>
        </w:tc>
        <w:tc>
          <w:tcPr>
            <w:tcW w:type="dxa" w:w="2401"/>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Global standard, brand trust</w:t>
            </w:r>
          </w:p>
        </w:tc>
        <w:tc>
          <w:tcPr>
            <w:tcW w:type="dxa" w:w="2401"/>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Priced out of SME market; no training/data bundle</w:t>
            </w:r>
          </w:p>
        </w:tc>
      </w:tr>
      <w:tr>
        <w:tc>
          <w:tcPr>
            <w:tcW w:type="dxa" w:w="2505"/>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bCs/>
                <w:color w:val="0B0F1A"/>
                <w:sz w:val="15"/>
                <w:szCs w:val="15"/>
              </w:rPr>
              <w:t xml:space="preserve">Mid-market firms (HLB MN, NSP Associates, RUMA CPA)</w:t>
            </w:r>
          </w:p>
        </w:tc>
        <w:tc>
          <w:tcPr>
            <w:tcW w:type="dxa" w:w="1879"/>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SMEs &amp; mid-size companies</w:t>
            </w:r>
          </w:p>
        </w:tc>
        <w:tc>
          <w:tcPr>
            <w:tcW w:type="dxa" w:w="125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center"/>
            </w:pPr>
            <w:r>
              <w:rPr>
                <w:rFonts w:ascii="Inter" w:cs="Inter" w:eastAsia="Inter" w:hAnsi="Inter"/>
                <w:b w:val="false"/>
                <w:bCs w:val="false"/>
                <w:color w:val="0B0F1A"/>
                <w:sz w:val="15"/>
                <w:szCs w:val="15"/>
              </w:rPr>
              <w:t xml:space="preserve">Medium</w:t>
            </w:r>
          </w:p>
        </w:tc>
        <w:tc>
          <w:tcPr>
            <w:tcW w:type="dxa" w:w="2401"/>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Local depth, RRA relationships</w:t>
            </w:r>
          </w:p>
        </w:tc>
        <w:tc>
          <w:tcPr>
            <w:tcW w:type="dxa" w:w="2401"/>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Advisory-only; no Tech/Academy/Data bundle</w:t>
            </w:r>
          </w:p>
        </w:tc>
      </w:tr>
      <w:tr>
        <w:tc>
          <w:tcPr>
            <w:tcW w:type="dxa" w:w="2505"/>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bCs/>
                <w:color w:val="0B0F1A"/>
                <w:sz w:val="15"/>
                <w:szCs w:val="15"/>
              </w:rPr>
              <w:t xml:space="preserve">ALSM Consulting Group</w:t>
            </w:r>
          </w:p>
        </w:tc>
        <w:tc>
          <w:tcPr>
            <w:tcW w:type="dxa" w:w="1879"/>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SMEs to multinationals; Rwanda/Uganda/India/UAE</w:t>
            </w:r>
          </w:p>
        </w:tc>
        <w:tc>
          <w:tcPr>
            <w:tcW w:type="dxa" w:w="125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center"/>
            </w:pPr>
            <w:r>
              <w:rPr>
                <w:rFonts w:ascii="Inter" w:cs="Inter" w:eastAsia="Inter" w:hAnsi="Inter"/>
                <w:b w:val="false"/>
                <w:bCs w:val="false"/>
                <w:color w:val="0B0F1A"/>
                <w:sz w:val="15"/>
                <w:szCs w:val="15"/>
              </w:rPr>
              <w:t xml:space="preserve">Medium–High</w:t>
            </w:r>
          </w:p>
        </w:tc>
        <w:tc>
          <w:tcPr>
            <w:tcW w:type="dxa" w:w="2401"/>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55 staff, 350+ clients, bundles advisory with Zoho/Frappe tech implementation</w:t>
            </w:r>
          </w:p>
        </w:tc>
        <w:tc>
          <w:tcPr>
            <w:tcW w:type="dxa" w:w="2401"/>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Closest direct competitor — proof the bundled model works</w:t>
            </w:r>
          </w:p>
        </w:tc>
      </w:tr>
      <w:tr>
        <w:tc>
          <w:tcPr>
            <w:tcW w:type="dxa" w:w="2505"/>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bCs/>
                <w:color w:val="0B0F1A"/>
                <w:sz w:val="15"/>
                <w:szCs w:val="15"/>
              </w:rPr>
              <w:t xml:space="preserve">Training providers (kLab, Andela ATLP, Zeisnet, Sokrab)</w:t>
            </w:r>
          </w:p>
        </w:tc>
        <w:tc>
          <w:tcPr>
            <w:tcW w:type="dxa" w:w="1879"/>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Youth, corporates</w:t>
            </w:r>
          </w:p>
        </w:tc>
        <w:tc>
          <w:tcPr>
            <w:tcW w:type="dxa" w:w="125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center"/>
            </w:pPr>
            <w:r>
              <w:rPr>
                <w:rFonts w:ascii="Inter" w:cs="Inter" w:eastAsia="Inter" w:hAnsi="Inter"/>
                <w:b w:val="false"/>
                <w:bCs w:val="false"/>
                <w:color w:val="0B0F1A"/>
                <w:sz w:val="15"/>
                <w:szCs w:val="15"/>
              </w:rPr>
              <w:t xml:space="preserve">Low–Medium</w:t>
            </w:r>
          </w:p>
        </w:tc>
        <w:tc>
          <w:tcPr>
            <w:tcW w:type="dxa" w:w="2401"/>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Established training brands, some free</w:t>
            </w:r>
          </w:p>
        </w:tc>
        <w:tc>
          <w:tcPr>
            <w:tcW w:type="dxa" w:w="2401"/>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Training-only; no compliance or data services attached</w:t>
            </w:r>
          </w:p>
        </w:tc>
      </w:tr>
    </w:tbl>
    <w:p>
      <w:pPr>
        <w:spacing w:after="130"/>
      </w:pPr>
      <w:r>
        <w:rPr>
          <w:color w:val="26282E"/>
          <w:sz w:val="19"/>
          <w:szCs w:val="19"/>
        </w:rPr>
        <w:t xml:space="preserve">Z-GATE's positioning: mid-market pricing, Big-4-adjacent discipline, and the one bundle — compliance, skills, systems, data — that no single competitor currently offers together in one retainer.</w:t>
      </w:r>
    </w:p>
    <w:p>
      <w:r>
        <w:br w:type="page"/>
      </w:r>
    </w:p>
    <w:p>
      <w:pPr>
        <w:spacing w:after="60" w:before="200"/>
      </w:pPr>
      <w:r>
        <w:rPr>
          <w:b/>
          <w:bCs/>
          <w:color w:val="5B6BFA"/>
          <w:sz w:val="20"/>
          <w:szCs w:val="20"/>
        </w:rPr>
        <w:t xml:space="preserve">— </w:t>
      </w:r>
      <w:r>
        <w:rPr>
          <w:b/>
          <w:bCs/>
          <w:color w:val="5B6BFA"/>
          <w:spacing w:val="20"/>
          <w:sz w:val="20"/>
          <w:szCs w:val="20"/>
        </w:rPr>
        <w:t xml:space="preserve">A5 &amp; A6 — ROADMAP</w:t>
      </w:r>
    </w:p>
    <w:p>
      <w:pPr>
        <w:pStyle w:val="Heading1"/>
        <w:pBdr>
          <w:bottom w:val="single" w:color="0B0F1A" w:sz="12" w:space="6"/>
        </w:pBdr>
        <w:spacing w:after="150" w:before="380"/>
      </w:pPr>
      <w:r>
        <w:rPr>
          <w:rFonts w:ascii="Georgia" w:cs="Georgia" w:eastAsia="Georgia" w:hAnsi="Georgia"/>
          <w:b/>
          <w:bCs/>
          <w:color w:val="0B0F1A"/>
          <w:sz w:val="30"/>
          <w:szCs w:val="30"/>
        </w:rPr>
        <w:t xml:space="preserve">90-Day Roadmap by Division</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Layout w:type="fixed"/>
      </w:tblPr>
      <w:tblGrid>
        <w:gridCol w:w="100"/>
        <w:gridCol w:w="100"/>
        <w:gridCol w:w="100"/>
        <w:gridCol w:w="100"/>
      </w:tblGrid>
      <w:tr>
        <w:tc>
          <w:tcPr>
            <w:tcW w:type="dxa" w:w="1461"/>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Division</w:t>
            </w:r>
          </w:p>
        </w:tc>
        <w:tc>
          <w:tcPr>
            <w:tcW w:type="dxa" w:w="3027"/>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Month 1</w:t>
            </w:r>
          </w:p>
        </w:tc>
        <w:tc>
          <w:tcPr>
            <w:tcW w:type="dxa" w:w="3027"/>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Month 2</w:t>
            </w:r>
          </w:p>
        </w:tc>
        <w:tc>
          <w:tcPr>
            <w:tcW w:type="dxa" w:w="2923"/>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Month 3 (Day 90 target)</w:t>
            </w:r>
          </w:p>
        </w:tc>
      </w:tr>
      <w:tr>
        <w:tc>
          <w:tcPr>
            <w:tcW w:type="dxa" w:w="1461"/>
            <w:tcBorders>
              <w:top w:val="single" w:color="D9D9D9" w:sz="4"/>
              <w:left w:val="single" w:color="D9D9D9" w:sz="4"/>
              <w:bottom w:val="single" w:color="D9D9D9" w:sz="4"/>
              <w:right w:val="single" w:color="D9D9D9" w:sz="4"/>
            </w:tcBorders>
            <w:shd w:fill="C9A15A" w:color="auto" w:val="clear"/>
            <w:tcMar>
              <w:top w:type="dxa" w:w="90"/>
              <w:left w:type="dxa" w:w="120"/>
              <w:bottom w:type="dxa" w:w="90"/>
              <w:right w:type="dxa" w:w="120"/>
            </w:tcMar>
            <w:vAlign w:val="center"/>
          </w:tcPr>
          <w:p>
            <w:pPr>
              <w:jc w:val="left"/>
            </w:pPr>
            <w:r>
              <w:rPr>
                <w:rFonts w:ascii="Inter" w:cs="Inter" w:eastAsia="Inter" w:hAnsi="Inter"/>
                <w:b/>
                <w:bCs/>
                <w:color w:val="FFFFFF"/>
                <w:sz w:val="15"/>
                <w:szCs w:val="15"/>
              </w:rPr>
              <w:t xml:space="preserve">Advisory</w:t>
            </w:r>
          </w:p>
        </w:tc>
        <w:tc>
          <w:tcPr>
            <w:tcW w:type="dxa" w:w="302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Launch EBM/VAT compliance service; onboard first 3–5 retainer clients in Nyarugenge CBD</w:t>
            </w:r>
          </w:p>
        </w:tc>
        <w:tc>
          <w:tcPr>
            <w:tcW w:type="dxa" w:w="302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Expand to Gasabo corporates; formalize bookkeeping packages</w:t>
            </w:r>
          </w:p>
        </w:tc>
        <w:tc>
          <w:tcPr>
            <w:tcW w:type="dxa" w:w="292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10 active retainer clients; compliance calendar productized</w:t>
            </w:r>
          </w:p>
        </w:tc>
      </w:tr>
      <w:tr>
        <w:tc>
          <w:tcPr>
            <w:tcW w:type="dxa" w:w="1461"/>
            <w:tcBorders>
              <w:top w:val="single" w:color="D9D9D9" w:sz="4"/>
              <w:left w:val="single" w:color="D9D9D9" w:sz="4"/>
              <w:bottom w:val="single" w:color="D9D9D9" w:sz="4"/>
              <w:right w:val="single" w:color="D9D9D9" w:sz="4"/>
            </w:tcBorders>
            <w:shd w:fill="3FAE7A" w:color="auto" w:val="clear"/>
            <w:tcMar>
              <w:top w:type="dxa" w:w="90"/>
              <w:left w:type="dxa" w:w="120"/>
              <w:bottom w:type="dxa" w:w="90"/>
              <w:right w:type="dxa" w:w="120"/>
            </w:tcMar>
            <w:vAlign w:val="center"/>
          </w:tcPr>
          <w:p>
            <w:pPr>
              <w:jc w:val="left"/>
            </w:pPr>
            <w:r>
              <w:rPr>
                <w:rFonts w:ascii="Inter" w:cs="Inter" w:eastAsia="Inter" w:hAnsi="Inter"/>
                <w:b/>
                <w:bCs/>
                <w:color w:val="FFFFFF"/>
                <w:sz w:val="15"/>
                <w:szCs w:val="15"/>
              </w:rPr>
              <w:t xml:space="preserve">Academy</w:t>
            </w:r>
          </w:p>
        </w:tc>
        <w:tc>
          <w:tcPr>
            <w:tcW w:type="dxa" w:w="302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Design first 2 courses from Advisory's own expertise (tax basics, EBM operation)</w:t>
            </w:r>
          </w:p>
        </w:tc>
        <w:tc>
          <w:tcPr>
            <w:tcW w:type="dxa" w:w="302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Run first cohort (target 15–20 learners); collect testimonials</w:t>
            </w:r>
          </w:p>
        </w:tc>
        <w:tc>
          <w:tcPr>
            <w:tcW w:type="dxa" w:w="292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Second cohort launched; 30+ trained cumulative</w:t>
            </w:r>
          </w:p>
        </w:tc>
      </w:tr>
      <w:tr>
        <w:tc>
          <w:tcPr>
            <w:tcW w:type="dxa" w:w="1461"/>
            <w:tcBorders>
              <w:top w:val="single" w:color="D9D9D9" w:sz="4"/>
              <w:left w:val="single" w:color="D9D9D9" w:sz="4"/>
              <w:bottom w:val="single" w:color="D9D9D9" w:sz="4"/>
              <w:right w:val="single" w:color="D9D9D9" w:sz="4"/>
            </w:tcBorders>
            <w:shd w:fill="3F8CFA" w:color="auto" w:val="clear"/>
            <w:tcMar>
              <w:top w:type="dxa" w:w="90"/>
              <w:left w:type="dxa" w:w="120"/>
              <w:bottom w:type="dxa" w:w="90"/>
              <w:right w:type="dxa" w:w="120"/>
            </w:tcMar>
            <w:vAlign w:val="center"/>
          </w:tcPr>
          <w:p>
            <w:pPr>
              <w:jc w:val="left"/>
            </w:pPr>
            <w:r>
              <w:rPr>
                <w:rFonts w:ascii="Inter" w:cs="Inter" w:eastAsia="Inter" w:hAnsi="Inter"/>
                <w:b/>
                <w:bCs/>
                <w:color w:val="FFFFFF"/>
                <w:sz w:val="15"/>
                <w:szCs w:val="15"/>
              </w:rPr>
              <w:t xml:space="preserve">Tech</w:t>
            </w:r>
          </w:p>
        </w:tc>
        <w:tc>
          <w:tcPr>
            <w:tcW w:type="dxa" w:w="302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Scope and start Advisory's internal client portal</w:t>
            </w:r>
          </w:p>
        </w:tc>
        <w:tc>
          <w:tcPr>
            <w:tcW w:type="dxa" w:w="302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Ship portal MVP; begin Data's reporting pipeline</w:t>
            </w:r>
          </w:p>
        </w:tc>
        <w:tc>
          <w:tcPr>
            <w:tcW w:type="dxa" w:w="292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Internal tools live; first external Tech conversation opened</w:t>
            </w:r>
          </w:p>
        </w:tc>
      </w:tr>
      <w:tr>
        <w:tc>
          <w:tcPr>
            <w:tcW w:type="dxa" w:w="1461"/>
            <w:tcBorders>
              <w:top w:val="single" w:color="D9D9D9" w:sz="4"/>
              <w:left w:val="single" w:color="D9D9D9" w:sz="4"/>
              <w:bottom w:val="single" w:color="D9D9D9" w:sz="4"/>
              <w:right w:val="single" w:color="D9D9D9" w:sz="4"/>
            </w:tcBorders>
            <w:shd w:fill="A85CF6" w:color="auto" w:val="clear"/>
            <w:tcMar>
              <w:top w:type="dxa" w:w="90"/>
              <w:left w:type="dxa" w:w="120"/>
              <w:bottom w:type="dxa" w:w="90"/>
              <w:right w:type="dxa" w:w="120"/>
            </w:tcMar>
            <w:vAlign w:val="center"/>
          </w:tcPr>
          <w:p>
            <w:pPr>
              <w:jc w:val="left"/>
            </w:pPr>
            <w:r>
              <w:rPr>
                <w:rFonts w:ascii="Inter" w:cs="Inter" w:eastAsia="Inter" w:hAnsi="Inter"/>
                <w:b/>
                <w:bCs/>
                <w:color w:val="FFFFFF"/>
                <w:sz w:val="15"/>
                <w:szCs w:val="15"/>
              </w:rPr>
              <w:t xml:space="preserve">Data</w:t>
            </w:r>
          </w:p>
        </w:tc>
        <w:tc>
          <w:tcPr>
            <w:tcW w:type="dxa" w:w="302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Define standard reporting templates using Advisory's own client data</w:t>
            </w:r>
          </w:p>
        </w:tc>
        <w:tc>
          <w:tcPr>
            <w:tcW w:type="dxa" w:w="302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Pilot BI dashboard internally</w:t>
            </w:r>
          </w:p>
        </w:tc>
        <w:tc>
          <w:tcPr>
            <w:tcW w:type="dxa" w:w="292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5"/>
                <w:szCs w:val="15"/>
              </w:rPr>
              <w:t xml:space="preserve">First external Data client onboarded</w:t>
            </w:r>
          </w:p>
        </w:tc>
      </w:tr>
    </w:tbl>
    <w:p>
      <w:pPr>
        <w:spacing w:after="60" w:before="200"/>
      </w:pPr>
      <w:r>
        <w:rPr>
          <w:b/>
          <w:bCs/>
          <w:color w:val="5B6BFA"/>
          <w:sz w:val="20"/>
          <w:szCs w:val="20"/>
        </w:rPr>
        <w:t xml:space="preserve">— </w:t>
      </w:r>
      <w:r>
        <w:rPr>
          <w:b/>
          <w:bCs/>
          <w:color w:val="5B6BFA"/>
          <w:spacing w:val="20"/>
          <w:sz w:val="20"/>
          <w:szCs w:val="20"/>
        </w:rPr>
        <w:t xml:space="preserve">A7 — STAFFING PLAN</w:t>
      </w:r>
    </w:p>
    <w:p>
      <w:pPr>
        <w:pStyle w:val="Heading1"/>
        <w:pBdr>
          <w:bottom w:val="single" w:color="0B0F1A" w:sz="12" w:space="6"/>
        </w:pBdr>
        <w:spacing w:after="150" w:before="380"/>
      </w:pPr>
      <w:r>
        <w:rPr>
          <w:rFonts w:ascii="Georgia" w:cs="Georgia" w:eastAsia="Georgia" w:hAnsi="Georgia"/>
          <w:b/>
          <w:bCs/>
          <w:color w:val="0B0F1A"/>
          <w:sz w:val="30"/>
          <w:szCs w:val="30"/>
        </w:rPr>
        <w:t xml:space="preserve">Staffing &amp; Organization (First 90 Days)</w:t>
      </w:r>
    </w:p>
    <w:p>
      <w:pPr>
        <w:spacing w:after="130"/>
      </w:pPr>
      <w:r>
        <w:rPr>
          <w:color w:val="26282E"/>
          <w:sz w:val="19"/>
          <w:szCs w:val="19"/>
        </w:rPr>
        <w:t xml:space="preserve">The registration certificate records no employees as of the registration date — every division currently runs through the founder. Hiring should follow revenue, not precede it, and should prioritize the flagship division first.</w:t>
      </w:r>
    </w:p>
    <w:p>
      <w:pPr>
        <w:pStyle w:val="ListParagraph"/>
        <w:numPr>
          <w:ilvl w:val="0"/>
          <w:numId w:val="1"/>
        </w:numPr>
        <w:spacing w:after="60"/>
      </w:pPr>
      <w:r>
        <w:rPr>
          <w:color w:val="26282E"/>
          <w:sz w:val="19"/>
          <w:szCs w:val="19"/>
        </w:rPr>
        <w:t xml:space="preserve">Month 1: one Advisory associate/bookkeeper (full- or part-time) to free the founder for sales and Tech oversight; a part-time marketing coordinator to run the launch calendar.</w:t>
      </w:r>
    </w:p>
    <w:p>
      <w:pPr>
        <w:pStyle w:val="ListParagraph"/>
        <w:numPr>
          <w:ilvl w:val="0"/>
          <w:numId w:val="1"/>
        </w:numPr>
        <w:spacing w:after="60"/>
      </w:pPr>
      <w:r>
        <w:rPr>
          <w:color w:val="26282E"/>
          <w:sz w:val="19"/>
          <w:szCs w:val="19"/>
        </w:rPr>
        <w:t xml:space="preserve">Month 2: one contract Academy trainer/facilitator (drawn from Rwanda's active trainer pool — kLab, Andela, university lecturers) to run the first cohort without pulling the founder off Advisory.</w:t>
      </w:r>
    </w:p>
    <w:p>
      <w:pPr>
        <w:pStyle w:val="ListParagraph"/>
        <w:numPr>
          <w:ilvl w:val="0"/>
          <w:numId w:val="1"/>
        </w:numPr>
        <w:spacing w:after="60"/>
      </w:pPr>
      <w:r>
        <w:rPr>
          <w:color w:val="26282E"/>
          <w:sz w:val="19"/>
          <w:szCs w:val="19"/>
        </w:rPr>
        <w:t xml:space="preserve">Month 3: one junior developer (Tech, contract or intern) and one data analyst (Data), both scoped initially against internal tools before external client work.</w:t>
      </w:r>
    </w:p>
    <w:p>
      <w:r>
        <w:br w:type="page"/>
      </w:r>
    </w:p>
    <w:p>
      <w:pPr>
        <w:spacing w:after="60" w:before="200"/>
      </w:pPr>
      <w:r>
        <w:rPr>
          <w:b/>
          <w:bCs/>
          <w:color w:val="5B6BFA"/>
          <w:sz w:val="20"/>
          <w:szCs w:val="20"/>
        </w:rPr>
        <w:t xml:space="preserve">— </w:t>
      </w:r>
      <w:r>
        <w:rPr>
          <w:b/>
          <w:bCs/>
          <w:color w:val="5B6BFA"/>
          <w:spacing w:val="20"/>
          <w:sz w:val="20"/>
          <w:szCs w:val="20"/>
        </w:rPr>
        <w:t xml:space="preserve">A8 — BUDGET SNAPSHOT</w:t>
      </w:r>
    </w:p>
    <w:p>
      <w:pPr>
        <w:pStyle w:val="Heading1"/>
        <w:pBdr>
          <w:bottom w:val="single" w:color="0B0F1A" w:sz="12" w:space="6"/>
        </w:pBdr>
        <w:spacing w:after="150" w:before="380"/>
      </w:pPr>
      <w:r>
        <w:rPr>
          <w:rFonts w:ascii="Georgia" w:cs="Georgia" w:eastAsia="Georgia" w:hAnsi="Georgia"/>
          <w:b/>
          <w:bCs/>
          <w:color w:val="0B0F1A"/>
          <w:sz w:val="30"/>
          <w:szCs w:val="30"/>
        </w:rPr>
        <w:t xml:space="preserve">90-Day Budget Allocation</w:t>
      </w:r>
    </w:p>
    <w:p>
      <w:pPr>
        <w:spacing w:after="130"/>
      </w:pPr>
      <w:r>
        <w:rPr>
          <w:color w:val="26282E"/>
          <w:sz w:val="19"/>
          <w:szCs w:val="19"/>
        </w:rPr>
        <w:t xml:space="preserve">Z-GATE LTD is capitalized at RWF 5,000,000 in ordinary share capital. The allocation below is drawn directly from the role-by-role 90-Day Financial Model (Revenue &amp; Cost Model sheet) rather than an independent estimate, so the two documents agree.</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Layout w:type="fixed"/>
      </w:tblPr>
      <w:tblGrid>
        <w:gridCol w:w="100"/>
        <w:gridCol w:w="100"/>
        <w:gridCol w:w="100"/>
      </w:tblGrid>
      <w:tr>
        <w:tc>
          <w:tcPr>
            <w:tcW w:type="dxa" w:w="5220"/>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Category</w:t>
            </w:r>
          </w:p>
        </w:tc>
        <w:tc>
          <w:tcPr>
            <w:tcW w:type="dxa" w:w="2923"/>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center"/>
            </w:pPr>
            <w:r>
              <w:rPr>
                <w:rFonts w:ascii="Inter" w:cs="Inter" w:eastAsia="Inter" w:hAnsi="Inter"/>
                <w:b/>
                <w:bCs/>
                <w:color w:val="FFFFFF"/>
                <w:sz w:val="18"/>
                <w:szCs w:val="18"/>
              </w:rPr>
              <w:t xml:space="preserve">90-Day Amount</w:t>
            </w:r>
          </w:p>
        </w:tc>
        <w:tc>
          <w:tcPr>
            <w:tcW w:type="dxa" w:w="2296"/>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center"/>
            </w:pPr>
            <w:r>
              <w:rPr>
                <w:rFonts w:ascii="Inter" w:cs="Inter" w:eastAsia="Inter" w:hAnsi="Inter"/>
                <w:b/>
                <w:bCs/>
                <w:color w:val="FFFFFF"/>
                <w:sz w:val="18"/>
                <w:szCs w:val="18"/>
              </w:rPr>
              <w:t xml:space="preserve">Share</w:t>
            </w:r>
          </w:p>
        </w:tc>
      </w:tr>
      <w:tr>
        <w:tc>
          <w:tcPr>
            <w:tcW w:type="dxa" w:w="522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7"/>
                <w:szCs w:val="17"/>
              </w:rPr>
              <w:t xml:space="preserve">Marketing &amp; brand launch</w:t>
            </w:r>
          </w:p>
        </w:tc>
        <w:tc>
          <w:tcPr>
            <w:tcW w:type="dxa" w:w="292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center"/>
            </w:pPr>
            <w:r>
              <w:rPr>
                <w:rFonts w:ascii="Inter" w:cs="Inter" w:eastAsia="Inter" w:hAnsi="Inter"/>
                <w:b w:val="false"/>
                <w:bCs w:val="false"/>
                <w:color w:val="0B0F1A"/>
                <w:sz w:val="17"/>
                <w:szCs w:val="17"/>
              </w:rPr>
              <w:t xml:space="preserve">RWF 1,250,000</w:t>
            </w:r>
          </w:p>
        </w:tc>
        <w:tc>
          <w:tcPr>
            <w:tcW w:type="dxa" w:w="2296"/>
            <w:tcBorders>
              <w:top w:val="single" w:color="D9D9D9" w:sz="4"/>
              <w:left w:val="single" w:color="D9D9D9" w:sz="4"/>
              <w:bottom w:val="single" w:color="D9D9D9" w:sz="4"/>
              <w:right w:val="single" w:color="D9D9D9" w:sz="4"/>
            </w:tcBorders>
            <w:shd w:fill="5B6BFA" w:color="auto" w:val="clear"/>
            <w:tcMar>
              <w:top w:type="dxa" w:w="90"/>
              <w:left w:type="dxa" w:w="120"/>
              <w:bottom w:type="dxa" w:w="90"/>
              <w:right w:type="dxa" w:w="120"/>
            </w:tcMar>
            <w:vAlign w:val="center"/>
          </w:tcPr>
          <w:p>
            <w:pPr>
              <w:jc w:val="center"/>
            </w:pPr>
            <w:r>
              <w:rPr>
                <w:rFonts w:ascii="Inter" w:cs="Inter" w:eastAsia="Inter" w:hAnsi="Inter"/>
                <w:b/>
                <w:bCs/>
                <w:color w:val="FFFFFF"/>
                <w:sz w:val="17"/>
                <w:szCs w:val="17"/>
              </w:rPr>
              <w:t xml:space="preserve">25%</w:t>
            </w:r>
          </w:p>
        </w:tc>
      </w:tr>
      <w:tr>
        <w:tc>
          <w:tcPr>
            <w:tcW w:type="dxa" w:w="522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7"/>
                <w:szCs w:val="17"/>
              </w:rPr>
              <w:t xml:space="preserve">Staffing &amp; contractors</w:t>
            </w:r>
          </w:p>
        </w:tc>
        <w:tc>
          <w:tcPr>
            <w:tcW w:type="dxa" w:w="292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center"/>
            </w:pPr>
            <w:r>
              <w:rPr>
                <w:rFonts w:ascii="Inter" w:cs="Inter" w:eastAsia="Inter" w:hAnsi="Inter"/>
                <w:b w:val="false"/>
                <w:bCs w:val="false"/>
                <w:color w:val="0B0F1A"/>
                <w:sz w:val="17"/>
                <w:szCs w:val="17"/>
              </w:rPr>
              <w:t xml:space="preserve">RWF 2,200,000</w:t>
            </w:r>
          </w:p>
        </w:tc>
        <w:tc>
          <w:tcPr>
            <w:tcW w:type="dxa" w:w="2296"/>
            <w:tcBorders>
              <w:top w:val="single" w:color="D9D9D9" w:sz="4"/>
              <w:left w:val="single" w:color="D9D9D9" w:sz="4"/>
              <w:bottom w:val="single" w:color="D9D9D9" w:sz="4"/>
              <w:right w:val="single" w:color="D9D9D9" w:sz="4"/>
            </w:tcBorders>
            <w:shd w:fill="C9A15A" w:color="auto" w:val="clear"/>
            <w:tcMar>
              <w:top w:type="dxa" w:w="90"/>
              <w:left w:type="dxa" w:w="120"/>
              <w:bottom w:type="dxa" w:w="90"/>
              <w:right w:type="dxa" w:w="120"/>
            </w:tcMar>
            <w:vAlign w:val="center"/>
          </w:tcPr>
          <w:p>
            <w:pPr>
              <w:jc w:val="center"/>
            </w:pPr>
            <w:r>
              <w:rPr>
                <w:rFonts w:ascii="Inter" w:cs="Inter" w:eastAsia="Inter" w:hAnsi="Inter"/>
                <w:b/>
                <w:bCs/>
                <w:color w:val="FFFFFF"/>
                <w:sz w:val="17"/>
                <w:szCs w:val="17"/>
              </w:rPr>
              <w:t xml:space="preserve">44%</w:t>
            </w:r>
          </w:p>
        </w:tc>
      </w:tr>
      <w:tr>
        <w:tc>
          <w:tcPr>
            <w:tcW w:type="dxa" w:w="522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7"/>
                <w:szCs w:val="17"/>
              </w:rPr>
              <w:t xml:space="preserve">Tools &amp; software (accounting, EBM-compliant systems, LMS, hosting)</w:t>
            </w:r>
          </w:p>
        </w:tc>
        <w:tc>
          <w:tcPr>
            <w:tcW w:type="dxa" w:w="292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center"/>
            </w:pPr>
            <w:r>
              <w:rPr>
                <w:rFonts w:ascii="Inter" w:cs="Inter" w:eastAsia="Inter" w:hAnsi="Inter"/>
                <w:b w:val="false"/>
                <w:bCs w:val="false"/>
                <w:color w:val="0B0F1A"/>
                <w:sz w:val="17"/>
                <w:szCs w:val="17"/>
              </w:rPr>
              <w:t xml:space="preserve">RWF 1,000,000</w:t>
            </w:r>
          </w:p>
        </w:tc>
        <w:tc>
          <w:tcPr>
            <w:tcW w:type="dxa" w:w="2296"/>
            <w:tcBorders>
              <w:top w:val="single" w:color="D9D9D9" w:sz="4"/>
              <w:left w:val="single" w:color="D9D9D9" w:sz="4"/>
              <w:bottom w:val="single" w:color="D9D9D9" w:sz="4"/>
              <w:right w:val="single" w:color="D9D9D9" w:sz="4"/>
            </w:tcBorders>
            <w:shd w:fill="3F8CFA" w:color="auto" w:val="clear"/>
            <w:tcMar>
              <w:top w:type="dxa" w:w="90"/>
              <w:left w:type="dxa" w:w="120"/>
              <w:bottom w:type="dxa" w:w="90"/>
              <w:right w:type="dxa" w:w="120"/>
            </w:tcMar>
            <w:vAlign w:val="center"/>
          </w:tcPr>
          <w:p>
            <w:pPr>
              <w:jc w:val="center"/>
            </w:pPr>
            <w:r>
              <w:rPr>
                <w:rFonts w:ascii="Inter" w:cs="Inter" w:eastAsia="Inter" w:hAnsi="Inter"/>
                <w:b/>
                <w:bCs/>
                <w:color w:val="FFFFFF"/>
                <w:sz w:val="17"/>
                <w:szCs w:val="17"/>
              </w:rPr>
              <w:t xml:space="preserve">20%</w:t>
            </w:r>
          </w:p>
        </w:tc>
      </w:tr>
      <w:tr>
        <w:tc>
          <w:tcPr>
            <w:tcW w:type="dxa" w:w="5220"/>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7"/>
                <w:szCs w:val="17"/>
              </w:rPr>
              <w:t xml:space="preserve">Legal, compliance &amp; activity-code review</w:t>
            </w:r>
          </w:p>
        </w:tc>
        <w:tc>
          <w:tcPr>
            <w:tcW w:type="dxa" w:w="292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center"/>
            </w:pPr>
            <w:r>
              <w:rPr>
                <w:rFonts w:ascii="Inter" w:cs="Inter" w:eastAsia="Inter" w:hAnsi="Inter"/>
                <w:b w:val="false"/>
                <w:bCs w:val="false"/>
                <w:color w:val="0B0F1A"/>
                <w:sz w:val="17"/>
                <w:szCs w:val="17"/>
              </w:rPr>
              <w:t xml:space="preserve">RWF 500,000</w:t>
            </w:r>
          </w:p>
        </w:tc>
        <w:tc>
          <w:tcPr>
            <w:tcW w:type="dxa" w:w="2296"/>
            <w:tcBorders>
              <w:top w:val="single" w:color="D9D9D9" w:sz="4"/>
              <w:left w:val="single" w:color="D9D9D9" w:sz="4"/>
              <w:bottom w:val="single" w:color="D9D9D9" w:sz="4"/>
              <w:right w:val="single" w:color="D9D9D9" w:sz="4"/>
            </w:tcBorders>
            <w:shd w:fill="C0392B" w:color="auto" w:val="clear"/>
            <w:tcMar>
              <w:top w:type="dxa" w:w="90"/>
              <w:left w:type="dxa" w:w="120"/>
              <w:bottom w:type="dxa" w:w="90"/>
              <w:right w:type="dxa" w:w="120"/>
            </w:tcMar>
            <w:vAlign w:val="center"/>
          </w:tcPr>
          <w:p>
            <w:pPr>
              <w:jc w:val="center"/>
            </w:pPr>
            <w:r>
              <w:rPr>
                <w:rFonts w:ascii="Inter" w:cs="Inter" w:eastAsia="Inter" w:hAnsi="Inter"/>
                <w:b/>
                <w:bCs/>
                <w:color w:val="FFFFFF"/>
                <w:sz w:val="17"/>
                <w:szCs w:val="17"/>
              </w:rPr>
              <w:t xml:space="preserve">10%</w:t>
            </w:r>
          </w:p>
        </w:tc>
      </w:tr>
      <w:tr>
        <w:tc>
          <w:tcPr>
            <w:tcW w:type="dxa" w:w="5220"/>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color w:val="0B0F1A"/>
                <w:sz w:val="18"/>
                <w:szCs w:val="18"/>
              </w:rPr>
              <w:t xml:space="preserve">Total committed 90-day spend</w:t>
            </w:r>
          </w:p>
        </w:tc>
        <w:tc>
          <w:tcPr>
            <w:tcW w:type="dxa" w:w="2923"/>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center"/>
            </w:pPr>
            <w:r>
              <w:rPr>
                <w:rFonts w:ascii="Inter" w:cs="Inter" w:eastAsia="Inter" w:hAnsi="Inter"/>
                <w:b/>
                <w:bCs/>
                <w:color w:val="0B0F1A"/>
                <w:sz w:val="18"/>
                <w:szCs w:val="18"/>
              </w:rPr>
              <w:t xml:space="preserve">RWF 4,950,000</w:t>
            </w:r>
          </w:p>
        </w:tc>
        <w:tc>
          <w:tcPr>
            <w:tcW w:type="dxa" w:w="2296"/>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center"/>
            </w:pPr>
            <w:r>
              <w:rPr>
                <w:rFonts w:ascii="Inter" w:cs="Inter" w:eastAsia="Inter" w:hAnsi="Inter"/>
                <w:b/>
                <w:bCs/>
                <w:color w:val="0B0F1A"/>
                <w:sz w:val="18"/>
                <w:szCs w:val="18"/>
              </w:rPr>
              <w:t xml:space="preserve">99%*</w:t>
            </w:r>
          </w:p>
        </w:tc>
      </w:tr>
    </w:tbl>
    <w:p>
      <w:pPr>
        <w:spacing w:after="130"/>
      </w:pPr>
      <w:r>
        <w:rPr>
          <w:i/>
          <w:iCs/>
          <w:color w:val="6B7280"/>
          <w:sz w:val="17"/>
          <w:szCs w:val="17"/>
        </w:rPr>
        <w:t xml:space="preserve">*Rounding. A RWF 500,000 contingency reserve is tracked separately in the Financial Model — held, not drawn in the base case, and funded from incoming revenue rather than carved out of the starting capital up front. Revenue of RWF 4,620,000 over the same 90 days leaves Z-GATE with a closing cash balance of RWF 4,670,000 (93% of starting capital retained) — see the Financial Model's Cash Flow and Summary Dashboard sheets for the month-by-month build-up.</w:t>
      </w:r>
    </w:p>
    <w:p>
      <w:pPr>
        <w:spacing w:after="60" w:before="200"/>
      </w:pPr>
      <w:r>
        <w:rPr>
          <w:b/>
          <w:bCs/>
          <w:color w:val="5B6BFA"/>
          <w:sz w:val="20"/>
          <w:szCs w:val="20"/>
        </w:rPr>
        <w:t xml:space="preserve">— </w:t>
      </w:r>
      <w:r>
        <w:rPr>
          <w:b/>
          <w:bCs/>
          <w:color w:val="5B6BFA"/>
          <w:spacing w:val="20"/>
          <w:sz w:val="20"/>
          <w:szCs w:val="20"/>
        </w:rPr>
        <w:t xml:space="preserve">A9 — RISK REGISTER</w:t>
      </w:r>
    </w:p>
    <w:p>
      <w:pPr>
        <w:pStyle w:val="Heading1"/>
        <w:pBdr>
          <w:bottom w:val="single" w:color="0B0F1A" w:sz="12" w:space="6"/>
        </w:pBdr>
        <w:spacing w:after="150" w:before="380"/>
      </w:pPr>
      <w:r>
        <w:rPr>
          <w:rFonts w:ascii="Georgia" w:cs="Georgia" w:eastAsia="Georgia" w:hAnsi="Georgia"/>
          <w:b/>
          <w:bCs/>
          <w:color w:val="0B0F1A"/>
          <w:sz w:val="30"/>
          <w:szCs w:val="30"/>
        </w:rPr>
        <w:t xml:space="preserve">Risk Register &amp; Mitigation</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Layout w:type="fixed"/>
      </w:tblPr>
      <w:tblGrid>
        <w:gridCol w:w="100"/>
        <w:gridCol w:w="100"/>
        <w:gridCol w:w="100"/>
      </w:tblGrid>
      <w:tr>
        <w:tc>
          <w:tcPr>
            <w:tcW w:type="dxa" w:w="4384"/>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Risk</w:t>
            </w:r>
          </w:p>
        </w:tc>
        <w:tc>
          <w:tcPr>
            <w:tcW w:type="dxa" w:w="1461"/>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center"/>
            </w:pPr>
            <w:r>
              <w:rPr>
                <w:rFonts w:ascii="Inter" w:cs="Inter" w:eastAsia="Inter" w:hAnsi="Inter"/>
                <w:b/>
                <w:bCs/>
                <w:color w:val="FFFFFF"/>
                <w:sz w:val="18"/>
                <w:szCs w:val="18"/>
              </w:rPr>
              <w:t xml:space="preserve">Severity</w:t>
            </w:r>
          </w:p>
        </w:tc>
        <w:tc>
          <w:tcPr>
            <w:tcW w:type="dxa" w:w="4593"/>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Mitigation</w:t>
            </w:r>
          </w:p>
        </w:tc>
      </w:tr>
      <w:tr>
        <w:tc>
          <w:tcPr>
            <w:tcW w:type="dxa" w:w="4384"/>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Single-founder dependency across all 4 divisions</w:t>
            </w:r>
          </w:p>
        </w:tc>
        <w:tc>
          <w:tcPr>
            <w:tcW w:type="dxa" w:w="1461"/>
            <w:tcBorders>
              <w:top w:val="single" w:color="D9D9D9" w:sz="4"/>
              <w:left w:val="single" w:color="D9D9D9" w:sz="4"/>
              <w:bottom w:val="single" w:color="D9D9D9" w:sz="4"/>
              <w:right w:val="single" w:color="D9D9D9" w:sz="4"/>
            </w:tcBorders>
            <w:shd w:fill="C0392B" w:color="auto" w:val="clear"/>
            <w:tcMar>
              <w:top w:type="dxa" w:w="90"/>
              <w:left w:type="dxa" w:w="120"/>
              <w:bottom w:type="dxa" w:w="90"/>
              <w:right w:type="dxa" w:w="120"/>
            </w:tcMar>
            <w:vAlign w:val="center"/>
          </w:tcPr>
          <w:p>
            <w:pPr>
              <w:jc w:val="center"/>
            </w:pPr>
            <w:r>
              <w:rPr>
                <w:rFonts w:ascii="Inter" w:cs="Inter" w:eastAsia="Inter" w:hAnsi="Inter"/>
                <w:b/>
                <w:bCs/>
                <w:color w:val="FFFFFF"/>
                <w:sz w:val="16"/>
                <w:szCs w:val="16"/>
              </w:rPr>
              <w:t xml:space="preserve">High</w:t>
            </w:r>
          </w:p>
        </w:tc>
        <w:tc>
          <w:tcPr>
            <w:tcW w:type="dxa" w:w="459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Hire Advisory associate in Month 1; document processes as they're built</w:t>
            </w:r>
          </w:p>
        </w:tc>
      </w:tr>
      <w:tr>
        <w:tc>
          <w:tcPr>
            <w:tcW w:type="dxa" w:w="4384"/>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Cash flow gap before first invoices are collected</w:t>
            </w:r>
          </w:p>
        </w:tc>
        <w:tc>
          <w:tcPr>
            <w:tcW w:type="dxa" w:w="1461"/>
            <w:tcBorders>
              <w:top w:val="single" w:color="D9D9D9" w:sz="4"/>
              <w:left w:val="single" w:color="D9D9D9" w:sz="4"/>
              <w:bottom w:val="single" w:color="D9D9D9" w:sz="4"/>
              <w:right w:val="single" w:color="D9D9D9" w:sz="4"/>
            </w:tcBorders>
            <w:shd w:fill="B8860B" w:color="auto" w:val="clear"/>
            <w:tcMar>
              <w:top w:type="dxa" w:w="90"/>
              <w:left w:type="dxa" w:w="120"/>
              <w:bottom w:type="dxa" w:w="90"/>
              <w:right w:type="dxa" w:w="120"/>
            </w:tcMar>
            <w:vAlign w:val="center"/>
          </w:tcPr>
          <w:p>
            <w:pPr>
              <w:jc w:val="center"/>
            </w:pPr>
            <w:r>
              <w:rPr>
                <w:rFonts w:ascii="Inter" w:cs="Inter" w:eastAsia="Inter" w:hAnsi="Inter"/>
                <w:b/>
                <w:bCs/>
                <w:color w:val="FFFFFF"/>
                <w:sz w:val="16"/>
                <w:szCs w:val="16"/>
              </w:rPr>
              <w:t xml:space="preserve">Medium</w:t>
            </w:r>
          </w:p>
        </w:tc>
        <w:tc>
          <w:tcPr>
            <w:tcW w:type="dxa" w:w="459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Prioritize Advisory retainers (fastest to revenue); keep Month 1 spend lean</w:t>
            </w:r>
          </w:p>
        </w:tc>
      </w:tr>
      <w:tr>
        <w:tc>
          <w:tcPr>
            <w:tcW w:type="dxa" w:w="4384"/>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5 REVIEW-status activity codes create brand/legal ambiguity</w:t>
            </w:r>
          </w:p>
        </w:tc>
        <w:tc>
          <w:tcPr>
            <w:tcW w:type="dxa" w:w="1461"/>
            <w:tcBorders>
              <w:top w:val="single" w:color="D9D9D9" w:sz="4"/>
              <w:left w:val="single" w:color="D9D9D9" w:sz="4"/>
              <w:bottom w:val="single" w:color="D9D9D9" w:sz="4"/>
              <w:right w:val="single" w:color="D9D9D9" w:sz="4"/>
            </w:tcBorders>
            <w:shd w:fill="B8860B" w:color="auto" w:val="clear"/>
            <w:tcMar>
              <w:top w:type="dxa" w:w="90"/>
              <w:left w:type="dxa" w:w="120"/>
              <w:bottom w:type="dxa" w:w="90"/>
              <w:right w:type="dxa" w:w="120"/>
            </w:tcMar>
            <w:vAlign w:val="center"/>
          </w:tcPr>
          <w:p>
            <w:pPr>
              <w:jc w:val="center"/>
            </w:pPr>
            <w:r>
              <w:rPr>
                <w:rFonts w:ascii="Inter" w:cs="Inter" w:eastAsia="Inter" w:hAnsi="Inter"/>
                <w:b/>
                <w:bCs/>
                <w:color w:val="FFFFFF"/>
                <w:sz w:val="16"/>
                <w:szCs w:val="16"/>
              </w:rPr>
              <w:t xml:space="preserve">Medium</w:t>
            </w:r>
          </w:p>
        </w:tc>
        <w:tc>
          <w:tcPr>
            <w:tcW w:type="dxa" w:w="459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Resolve with legal counsel before heavy marketing spend (see Section A2 in prior report)</w:t>
            </w:r>
          </w:p>
        </w:tc>
      </w:tr>
      <w:tr>
        <w:tc>
          <w:tcPr>
            <w:tcW w:type="dxa" w:w="4384"/>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Established bundled competitor (ALSM) already in market</w:t>
            </w:r>
          </w:p>
        </w:tc>
        <w:tc>
          <w:tcPr>
            <w:tcW w:type="dxa" w:w="1461"/>
            <w:tcBorders>
              <w:top w:val="single" w:color="D9D9D9" w:sz="4"/>
              <w:left w:val="single" w:color="D9D9D9" w:sz="4"/>
              <w:bottom w:val="single" w:color="D9D9D9" w:sz="4"/>
              <w:right w:val="single" w:color="D9D9D9" w:sz="4"/>
            </w:tcBorders>
            <w:shd w:fill="B8860B" w:color="auto" w:val="clear"/>
            <w:tcMar>
              <w:top w:type="dxa" w:w="90"/>
              <w:left w:type="dxa" w:w="120"/>
              <w:bottom w:type="dxa" w:w="90"/>
              <w:right w:type="dxa" w:w="120"/>
            </w:tcMar>
            <w:vAlign w:val="center"/>
          </w:tcPr>
          <w:p>
            <w:pPr>
              <w:jc w:val="center"/>
            </w:pPr>
            <w:r>
              <w:rPr>
                <w:rFonts w:ascii="Inter" w:cs="Inter" w:eastAsia="Inter" w:hAnsi="Inter"/>
                <w:b/>
                <w:bCs/>
                <w:color w:val="FFFFFF"/>
                <w:sz w:val="16"/>
                <w:szCs w:val="16"/>
              </w:rPr>
              <w:t xml:space="preserve">Medium</w:t>
            </w:r>
          </w:p>
        </w:tc>
        <w:tc>
          <w:tcPr>
            <w:tcW w:type="dxa" w:w="459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Differentiate on Academy + Data, which ALSM does not offer</w:t>
            </w:r>
          </w:p>
        </w:tc>
      </w:tr>
      <w:tr>
        <w:tc>
          <w:tcPr>
            <w:tcW w:type="dxa" w:w="4384"/>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EBM/tech vendor dependency for compliance tooling</w:t>
            </w:r>
          </w:p>
        </w:tc>
        <w:tc>
          <w:tcPr>
            <w:tcW w:type="dxa" w:w="1461"/>
            <w:tcBorders>
              <w:top w:val="single" w:color="D9D9D9" w:sz="4"/>
              <w:left w:val="single" w:color="D9D9D9" w:sz="4"/>
              <w:bottom w:val="single" w:color="D9D9D9" w:sz="4"/>
              <w:right w:val="single" w:color="D9D9D9" w:sz="4"/>
            </w:tcBorders>
            <w:shd w:fill="3FAE7A" w:color="auto" w:val="clear"/>
            <w:tcMar>
              <w:top w:type="dxa" w:w="90"/>
              <w:left w:type="dxa" w:w="120"/>
              <w:bottom w:type="dxa" w:w="90"/>
              <w:right w:type="dxa" w:w="120"/>
            </w:tcMar>
            <w:vAlign w:val="center"/>
          </w:tcPr>
          <w:p>
            <w:pPr>
              <w:jc w:val="center"/>
            </w:pPr>
            <w:r>
              <w:rPr>
                <w:rFonts w:ascii="Inter" w:cs="Inter" w:eastAsia="Inter" w:hAnsi="Inter"/>
                <w:b/>
                <w:bCs/>
                <w:color w:val="FFFFFF"/>
                <w:sz w:val="16"/>
                <w:szCs w:val="16"/>
              </w:rPr>
              <w:t xml:space="preserve">Low</w:t>
            </w:r>
          </w:p>
        </w:tc>
        <w:tc>
          <w:tcPr>
            <w:tcW w:type="dxa" w:w="459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Maintain relationships with 2+ certified EBM software providers</w:t>
            </w:r>
          </w:p>
        </w:tc>
      </w:tr>
    </w:tbl>
    <w:p>
      <w:r>
        <w:br w:type="page"/>
      </w:r>
    </w:p>
    <w:p>
      <w:pPr>
        <w:spacing w:after="60" w:before="200"/>
      </w:pPr>
      <w:r>
        <w:rPr>
          <w:b/>
          <w:bCs/>
          <w:color w:val="5B6BFA"/>
          <w:sz w:val="20"/>
          <w:szCs w:val="20"/>
        </w:rPr>
        <w:t xml:space="preserve">— </w:t>
      </w:r>
      <w:r>
        <w:rPr>
          <w:b/>
          <w:bCs/>
          <w:color w:val="5B6BFA"/>
          <w:spacing w:val="20"/>
          <w:sz w:val="20"/>
          <w:szCs w:val="20"/>
        </w:rPr>
        <w:t xml:space="preserve">A10 — DAY-90 KPIS</w:t>
      </w:r>
    </w:p>
    <w:p>
      <w:pPr>
        <w:pStyle w:val="Heading1"/>
        <w:pBdr>
          <w:bottom w:val="single" w:color="0B0F1A" w:sz="12" w:space="6"/>
        </w:pBdr>
        <w:spacing w:after="150" w:before="380"/>
      </w:pPr>
      <w:r>
        <w:rPr>
          <w:rFonts w:ascii="Georgia" w:cs="Georgia" w:eastAsia="Georgia" w:hAnsi="Georgia"/>
          <w:b/>
          <w:bCs/>
          <w:color w:val="0B0F1A"/>
          <w:sz w:val="30"/>
          <w:szCs w:val="30"/>
        </w:rPr>
        <w:t xml:space="preserve">Success Metrics at Day 90</w:t>
      </w:r>
    </w:p>
    <w:p>
      <w:pPr>
        <w:pStyle w:val="ListParagraph"/>
        <w:numPr>
          <w:ilvl w:val="0"/>
          <w:numId w:val="1"/>
        </w:numPr>
        <w:spacing w:after="60"/>
      </w:pPr>
      <w:r>
        <w:rPr>
          <w:color w:val="26282E"/>
          <w:sz w:val="19"/>
          <w:szCs w:val="19"/>
        </w:rPr>
        <w:t xml:space="preserve">Advisory: 10 active retainer clients; compliance calendar service productized and repeatable.</w:t>
      </w:r>
    </w:p>
    <w:p>
      <w:pPr>
        <w:pStyle w:val="ListParagraph"/>
        <w:numPr>
          <w:ilvl w:val="0"/>
          <w:numId w:val="1"/>
        </w:numPr>
        <w:spacing w:after="60"/>
      </w:pPr>
      <w:r>
        <w:rPr>
          <w:color w:val="26282E"/>
          <w:sz w:val="19"/>
          <w:szCs w:val="19"/>
        </w:rPr>
        <w:t xml:space="preserve">Academy: 2 cohorts run, 30+ learners trained cumulative, first testimonials collected.</w:t>
      </w:r>
    </w:p>
    <w:p>
      <w:pPr>
        <w:pStyle w:val="ListParagraph"/>
        <w:numPr>
          <w:ilvl w:val="0"/>
          <w:numId w:val="1"/>
        </w:numPr>
        <w:spacing w:after="60"/>
      </w:pPr>
      <w:r>
        <w:rPr>
          <w:color w:val="26282E"/>
          <w:sz w:val="19"/>
          <w:szCs w:val="19"/>
        </w:rPr>
        <w:t xml:space="preserve">Tech: internal client portal and reporting pipeline live; at least 1 external Tech conversation in progress.</w:t>
      </w:r>
    </w:p>
    <w:p>
      <w:pPr>
        <w:pStyle w:val="ListParagraph"/>
        <w:numPr>
          <w:ilvl w:val="0"/>
          <w:numId w:val="1"/>
        </w:numPr>
        <w:spacing w:after="60"/>
      </w:pPr>
      <w:r>
        <w:rPr>
          <w:color w:val="26282E"/>
          <w:sz w:val="19"/>
          <w:szCs w:val="19"/>
        </w:rPr>
        <w:t xml:space="preserve">Data: 1 external Data client onboarded on the standard reporting template.</w:t>
      </w:r>
    </w:p>
    <w:p>
      <w:pPr>
        <w:pStyle w:val="ListParagraph"/>
        <w:numPr>
          <w:ilvl w:val="0"/>
          <w:numId w:val="1"/>
        </w:numPr>
        <w:spacing w:after="60"/>
      </w:pPr>
      <w:r>
        <w:rPr>
          <w:color w:val="26282E"/>
          <w:sz w:val="19"/>
          <w:szCs w:val="19"/>
        </w:rPr>
        <w:t xml:space="preserve">Marketing: qualified lead pipeline of 500+ contacts across Facebook, LinkedIn and WhatsApp Business channels (see Part B).</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440"/>
            <w:shd w:fill="0B0F1A" w:color="auto" w:val="clear"/>
            <w:tcMar>
              <w:top w:type="dxa" w:w="260"/>
              <w:left w:type="dxa" w:w="260"/>
              <w:bottom w:type="dxa" w:w="260"/>
              <w:right w:type="dxa" w:w="260"/>
            </w:tcMar>
          </w:tcPr>
          <w:p>
            <w:r>
              <w:rPr>
                <w:b/>
                <w:bCs/>
                <w:color w:val="34E0C9"/>
                <w:spacing w:val="20"/>
                <w:sz w:val="20"/>
                <w:szCs w:val="20"/>
              </w:rPr>
              <w:t xml:space="preserve">PART B</w:t>
            </w:r>
          </w:p>
          <w:p>
            <w:pPr>
              <w:spacing w:before="80"/>
            </w:pPr>
            <w:r>
              <w:rPr>
                <w:rFonts w:ascii="Georgia" w:cs="Georgia" w:eastAsia="Georgia" w:hAnsi="Georgia"/>
                <w:b/>
                <w:bCs/>
                <w:color w:val="FFFFFF"/>
                <w:sz w:val="34"/>
                <w:szCs w:val="34"/>
              </w:rPr>
              <w:t xml:space="preserve">Marketing &amp; Go-to-Market Strategy</w:t>
            </w:r>
          </w:p>
        </w:tc>
      </w:tr>
    </w:tbl>
    <w:p>
      <w:pPr>
        <w:spacing w:after="100"/>
      </w:pPr>
    </w:p>
    <w:p>
      <w:pPr>
        <w:spacing w:after="60" w:before="200"/>
      </w:pPr>
      <w:r>
        <w:rPr>
          <w:b/>
          <w:bCs/>
          <w:color w:val="5B6BFA"/>
          <w:sz w:val="20"/>
          <w:szCs w:val="20"/>
        </w:rPr>
        <w:t xml:space="preserve">— </w:t>
      </w:r>
      <w:r>
        <w:rPr>
          <w:b/>
          <w:bCs/>
          <w:color w:val="5B6BFA"/>
          <w:spacing w:val="20"/>
          <w:sz w:val="20"/>
          <w:szCs w:val="20"/>
        </w:rPr>
        <w:t xml:space="preserve">B1 — POSITIONING</w:t>
      </w:r>
    </w:p>
    <w:p>
      <w:pPr>
        <w:pStyle w:val="Heading1"/>
        <w:pBdr>
          <w:bottom w:val="single" w:color="0B0F1A" w:sz="12" w:space="6"/>
        </w:pBdr>
        <w:spacing w:after="150" w:before="380"/>
      </w:pPr>
      <w:r>
        <w:rPr>
          <w:rFonts w:ascii="Georgia" w:cs="Georgia" w:eastAsia="Georgia" w:hAnsi="Georgia"/>
          <w:b/>
          <w:bCs/>
          <w:color w:val="0B0F1A"/>
          <w:sz w:val="30"/>
          <w:szCs w:val="30"/>
        </w:rPr>
        <w:t xml:space="preserve">Brand Positioning &amp; Message House</w:t>
      </w:r>
    </w:p>
    <w:p>
      <w:pPr>
        <w:spacing w:after="130"/>
      </w:pPr>
      <w:r>
        <w:rPr>
          <w:color w:val="26282E"/>
          <w:sz w:val="19"/>
          <w:szCs w:val="19"/>
        </w:rPr>
        <w:t xml:space="preserve">Primary message: stop juggling four vendors for compliance, skills, systems and data — Z-GATE is the one gate for all four. Every campaign in the first 90 days should trace back to this single line; division-specific messages are supporting pillars, not replacements for it.</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Pr>
      <w:tblGrid>
        <w:gridCol w:w="100"/>
        <w:gridCol w:w="100"/>
        <w:gridCol w:w="100"/>
        <w:gridCol w:w="100"/>
      </w:tblGrid>
      <w:tr>
        <w:tc>
          <w:tcPr>
            <w:tcW w:type="dxa" w:w="2610"/>
            <w:tcBorders>
              <w:top w:val="single" w:color="D9D9D9" w:sz="4"/>
              <w:left w:val="single" w:color="D9D9D9" w:sz="4"/>
              <w:bottom w:val="single" w:color="D9D9D9" w:sz="4"/>
              <w:right w:val="single" w:color="D9D9D9" w:sz="4"/>
            </w:tcBorders>
            <w:shd w:fill="C9A15A" w:color="auto" w:val="clear"/>
            <w:tcMar>
              <w:top w:type="dxa" w:w="90"/>
              <w:left w:type="dxa" w:w="120"/>
              <w:bottom w:type="dxa" w:w="90"/>
              <w:right w:type="dxa" w:w="120"/>
            </w:tcMar>
            <w:vAlign w:val="center"/>
          </w:tcPr>
          <w:p>
            <w:pPr>
              <w:jc w:val="center"/>
            </w:pPr>
            <w:r>
              <w:rPr>
                <w:rFonts w:ascii="Inter" w:cs="Inter" w:eastAsia="Inter" w:hAnsi="Inter"/>
                <w:b/>
                <w:bCs/>
                <w:color w:val="FFFFFF"/>
                <w:sz w:val="18"/>
                <w:szCs w:val="18"/>
              </w:rPr>
              <w:t xml:space="preserve">Compliance certainty</w:t>
            </w:r>
          </w:p>
        </w:tc>
        <w:tc>
          <w:tcPr>
            <w:tcW w:type="dxa" w:w="2610"/>
            <w:tcBorders>
              <w:top w:val="single" w:color="D9D9D9" w:sz="4"/>
              <w:left w:val="single" w:color="D9D9D9" w:sz="4"/>
              <w:bottom w:val="single" w:color="D9D9D9" w:sz="4"/>
              <w:right w:val="single" w:color="D9D9D9" w:sz="4"/>
            </w:tcBorders>
            <w:shd w:fill="3FAE7A" w:color="auto" w:val="clear"/>
            <w:tcMar>
              <w:top w:type="dxa" w:w="90"/>
              <w:left w:type="dxa" w:w="120"/>
              <w:bottom w:type="dxa" w:w="90"/>
              <w:right w:type="dxa" w:w="120"/>
            </w:tcMar>
            <w:vAlign w:val="center"/>
          </w:tcPr>
          <w:p>
            <w:pPr>
              <w:jc w:val="center"/>
            </w:pPr>
            <w:r>
              <w:rPr>
                <w:rFonts w:ascii="Inter" w:cs="Inter" w:eastAsia="Inter" w:hAnsi="Inter"/>
                <w:b/>
                <w:bCs/>
                <w:color w:val="FFFFFF"/>
                <w:sz w:val="18"/>
                <w:szCs w:val="18"/>
              </w:rPr>
              <w:t xml:space="preserve">Practical skills</w:t>
            </w:r>
          </w:p>
        </w:tc>
        <w:tc>
          <w:tcPr>
            <w:tcW w:type="dxa" w:w="2610"/>
            <w:tcBorders>
              <w:top w:val="single" w:color="D9D9D9" w:sz="4"/>
              <w:left w:val="single" w:color="D9D9D9" w:sz="4"/>
              <w:bottom w:val="single" w:color="D9D9D9" w:sz="4"/>
              <w:right w:val="single" w:color="D9D9D9" w:sz="4"/>
            </w:tcBorders>
            <w:shd w:fill="3F8CFA" w:color="auto" w:val="clear"/>
            <w:tcMar>
              <w:top w:type="dxa" w:w="90"/>
              <w:left w:type="dxa" w:w="120"/>
              <w:bottom w:type="dxa" w:w="90"/>
              <w:right w:type="dxa" w:w="120"/>
            </w:tcMar>
            <w:vAlign w:val="center"/>
          </w:tcPr>
          <w:p>
            <w:pPr>
              <w:jc w:val="center"/>
            </w:pPr>
            <w:r>
              <w:rPr>
                <w:rFonts w:ascii="Inter" w:cs="Inter" w:eastAsia="Inter" w:hAnsi="Inter"/>
                <w:b/>
                <w:bCs/>
                <w:color w:val="FFFFFF"/>
                <w:sz w:val="18"/>
                <w:szCs w:val="18"/>
              </w:rPr>
              <w:t xml:space="preserve">Systems that work</w:t>
            </w:r>
          </w:p>
        </w:tc>
        <w:tc>
          <w:tcPr>
            <w:tcW w:type="dxa" w:w="2610"/>
            <w:tcBorders>
              <w:top w:val="single" w:color="D9D9D9" w:sz="4"/>
              <w:left w:val="single" w:color="D9D9D9" w:sz="4"/>
              <w:bottom w:val="single" w:color="D9D9D9" w:sz="4"/>
              <w:right w:val="single" w:color="D9D9D9" w:sz="4"/>
            </w:tcBorders>
            <w:shd w:fill="A85CF6" w:color="auto" w:val="clear"/>
            <w:tcMar>
              <w:top w:type="dxa" w:w="90"/>
              <w:left w:type="dxa" w:w="120"/>
              <w:bottom w:type="dxa" w:w="90"/>
              <w:right w:type="dxa" w:w="120"/>
            </w:tcMar>
            <w:vAlign w:val="center"/>
          </w:tcPr>
          <w:p>
            <w:pPr>
              <w:jc w:val="center"/>
            </w:pPr>
            <w:r>
              <w:rPr>
                <w:rFonts w:ascii="Inter" w:cs="Inter" w:eastAsia="Inter" w:hAnsi="Inter"/>
                <w:b/>
                <w:bCs/>
                <w:color w:val="FFFFFF"/>
                <w:sz w:val="18"/>
                <w:szCs w:val="18"/>
              </w:rPr>
              <w:t xml:space="preserve">Numbers you can trust</w:t>
            </w:r>
          </w:p>
        </w:tc>
      </w:tr>
    </w:tbl>
    <w:p>
      <w:pPr>
        <w:spacing w:after="60" w:before="200"/>
      </w:pPr>
      <w:r>
        <w:rPr>
          <w:b/>
          <w:bCs/>
          <w:color w:val="5B6BFA"/>
          <w:sz w:val="20"/>
          <w:szCs w:val="20"/>
        </w:rPr>
        <w:t xml:space="preserve">— </w:t>
      </w:r>
      <w:r>
        <w:rPr>
          <w:b/>
          <w:bCs/>
          <w:color w:val="5B6BFA"/>
          <w:spacing w:val="20"/>
          <w:sz w:val="20"/>
          <w:szCs w:val="20"/>
        </w:rPr>
        <w:t xml:space="preserve">B2 — PERSONAS</w:t>
      </w:r>
    </w:p>
    <w:p>
      <w:pPr>
        <w:pStyle w:val="Heading1"/>
        <w:pBdr>
          <w:bottom w:val="single" w:color="0B0F1A" w:sz="12" w:space="6"/>
        </w:pBdr>
        <w:spacing w:after="150" w:before="380"/>
      </w:pPr>
      <w:r>
        <w:rPr>
          <w:rFonts w:ascii="Georgia" w:cs="Georgia" w:eastAsia="Georgia" w:hAnsi="Georgia"/>
          <w:b/>
          <w:bCs/>
          <w:color w:val="0B0F1A"/>
          <w:sz w:val="30"/>
          <w:szCs w:val="30"/>
        </w:rPr>
        <w:t xml:space="preserve">Target Audience Personas</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Pr>
      <w:tblGrid>
        <w:gridCol w:w="100"/>
        <w:gridCol w:w="100"/>
      </w:tblGrid>
      <w:tr>
        <w:tc>
          <w:tcPr>
            <w:tcW w:type="dxa" w:w="10440"/>
            <w:tcBorders>
              <w:top w:val="single" w:color="D9D9D9" w:sz="4"/>
              <w:left w:val="single" w:color="D9D9D9" w:sz="4"/>
              <w:bottom w:val="single" w:color="D9D9D9" w:sz="4"/>
              <w:right w:val="single" w:color="D9D9D9" w:sz="4"/>
            </w:tcBorders>
            <w:shd w:fill="C9A15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Solange — CBD Shop Owner</w:t>
            </w:r>
          </w:p>
        </w:tc>
      </w:tr>
      <w:tr>
        <w:tc>
          <w:tcPr>
            <w:tcW w:type="dxa" w:w="2296"/>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color w:val="0B0F1A"/>
                <w:sz w:val="18"/>
                <w:szCs w:val="18"/>
              </w:rPr>
              <w:t xml:space="preserve">Where</w:t>
            </w:r>
          </w:p>
        </w:tc>
        <w:tc>
          <w:tcPr>
            <w:tcW w:type="dxa" w:w="814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Nyarugenge CBD / Kimironko</w:t>
            </w:r>
          </w:p>
        </w:tc>
      </w:tr>
      <w:tr>
        <w:tc>
          <w:tcPr>
            <w:tcW w:type="dxa" w:w="2296"/>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color w:val="0B0F1A"/>
                <w:sz w:val="18"/>
                <w:szCs w:val="18"/>
              </w:rPr>
              <w:t xml:space="preserve">Primary channel</w:t>
            </w:r>
          </w:p>
        </w:tc>
        <w:tc>
          <w:tcPr>
            <w:tcW w:type="dxa" w:w="814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WhatsApp Business, word of mouth</w:t>
            </w:r>
          </w:p>
        </w:tc>
      </w:tr>
      <w:tr>
        <w:tc>
          <w:tcPr>
            <w:tcW w:type="dxa" w:w="2296"/>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color w:val="0B0F1A"/>
                <w:sz w:val="18"/>
                <w:szCs w:val="18"/>
              </w:rPr>
              <w:t xml:space="preserve">Core pain</w:t>
            </w:r>
          </w:p>
        </w:tc>
        <w:tc>
          <w:tcPr>
            <w:tcW w:type="dxa" w:w="814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Struggles operating her EBM; unsure if she owes VAT this quarter</w:t>
            </w:r>
          </w:p>
        </w:tc>
      </w:tr>
    </w:tbl>
    <w:p>
      <w:pPr>
        <w:spacing w:after="160"/>
      </w:pP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Pr>
      <w:tblGrid>
        <w:gridCol w:w="100"/>
        <w:gridCol w:w="100"/>
      </w:tblGrid>
      <w:tr>
        <w:tc>
          <w:tcPr>
            <w:tcW w:type="dxa" w:w="10440"/>
            <w:tcBorders>
              <w:top w:val="single" w:color="D9D9D9" w:sz="4"/>
              <w:left w:val="single" w:color="D9D9D9" w:sz="4"/>
              <w:bottom w:val="single" w:color="D9D9D9" w:sz="4"/>
              <w:right w:val="single" w:color="D9D9D9" w:sz="4"/>
            </w:tcBorders>
            <w:shd w:fill="3F8CF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Eric — Operations Manager</w:t>
            </w:r>
          </w:p>
        </w:tc>
      </w:tr>
      <w:tr>
        <w:tc>
          <w:tcPr>
            <w:tcW w:type="dxa" w:w="2296"/>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color w:val="0B0F1A"/>
                <w:sz w:val="18"/>
                <w:szCs w:val="18"/>
              </w:rPr>
              <w:t xml:space="preserve">Where</w:t>
            </w:r>
          </w:p>
        </w:tc>
        <w:tc>
          <w:tcPr>
            <w:tcW w:type="dxa" w:w="814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Kacyiru / Kimihurura / Remera (Gasabo)</w:t>
            </w:r>
          </w:p>
        </w:tc>
      </w:tr>
      <w:tr>
        <w:tc>
          <w:tcPr>
            <w:tcW w:type="dxa" w:w="2296"/>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color w:val="0B0F1A"/>
                <w:sz w:val="18"/>
                <w:szCs w:val="18"/>
              </w:rPr>
              <w:t xml:space="preserve">Primary channel</w:t>
            </w:r>
          </w:p>
        </w:tc>
        <w:tc>
          <w:tcPr>
            <w:tcW w:type="dxa" w:w="814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LinkedIn, referrals</w:t>
            </w:r>
          </w:p>
        </w:tc>
      </w:tr>
      <w:tr>
        <w:tc>
          <w:tcPr>
            <w:tcW w:type="dxa" w:w="2296"/>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color w:val="0B0F1A"/>
                <w:sz w:val="18"/>
                <w:szCs w:val="18"/>
              </w:rPr>
              <w:t xml:space="preserve">Core pain</w:t>
            </w:r>
          </w:p>
        </w:tc>
        <w:tc>
          <w:tcPr>
            <w:tcW w:type="dxa" w:w="814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Juggling separate vendors for books, systems, and reporting</w:t>
            </w:r>
          </w:p>
        </w:tc>
      </w:tr>
    </w:tbl>
    <w:p>
      <w:pPr>
        <w:spacing w:after="160"/>
      </w:pP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Pr>
      <w:tblGrid>
        <w:gridCol w:w="100"/>
        <w:gridCol w:w="100"/>
      </w:tblGrid>
      <w:tr>
        <w:tc>
          <w:tcPr>
            <w:tcW w:type="dxa" w:w="10440"/>
            <w:tcBorders>
              <w:top w:val="single" w:color="D9D9D9" w:sz="4"/>
              <w:left w:val="single" w:color="D9D9D9" w:sz="4"/>
              <w:bottom w:val="single" w:color="D9D9D9" w:sz="4"/>
              <w:right w:val="single" w:color="D9D9D9" w:sz="4"/>
            </w:tcBorders>
            <w:shd w:fill="3FAE7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Aline — Recent Graduate</w:t>
            </w:r>
          </w:p>
        </w:tc>
      </w:tr>
      <w:tr>
        <w:tc>
          <w:tcPr>
            <w:tcW w:type="dxa" w:w="2296"/>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color w:val="0B0F1A"/>
                <w:sz w:val="18"/>
                <w:szCs w:val="18"/>
              </w:rPr>
              <w:t xml:space="preserve">Where</w:t>
            </w:r>
          </w:p>
        </w:tc>
        <w:tc>
          <w:tcPr>
            <w:tcW w:type="dxa" w:w="814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Kigali-wide</w:t>
            </w:r>
          </w:p>
        </w:tc>
      </w:tr>
      <w:tr>
        <w:tc>
          <w:tcPr>
            <w:tcW w:type="dxa" w:w="2296"/>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color w:val="0B0F1A"/>
                <w:sz w:val="18"/>
                <w:szCs w:val="18"/>
              </w:rPr>
              <w:t xml:space="preserve">Primary channel</w:t>
            </w:r>
          </w:p>
        </w:tc>
        <w:tc>
          <w:tcPr>
            <w:tcW w:type="dxa" w:w="814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Facebook, Instagram</w:t>
            </w:r>
          </w:p>
        </w:tc>
      </w:tr>
      <w:tr>
        <w:tc>
          <w:tcPr>
            <w:tcW w:type="dxa" w:w="2296"/>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color w:val="0B0F1A"/>
                <w:sz w:val="18"/>
                <w:szCs w:val="18"/>
              </w:rPr>
              <w:t xml:space="preserve">Core pain</w:t>
            </w:r>
          </w:p>
        </w:tc>
        <w:tc>
          <w:tcPr>
            <w:tcW w:type="dxa" w:w="814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Needs a job-ready certificate employers actually recognize</w:t>
            </w:r>
          </w:p>
        </w:tc>
      </w:tr>
    </w:tbl>
    <w:p>
      <w:pPr>
        <w:spacing w:after="160"/>
      </w:pP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Pr>
      <w:tblGrid>
        <w:gridCol w:w="100"/>
        <w:gridCol w:w="100"/>
      </w:tblGrid>
      <w:tr>
        <w:tc>
          <w:tcPr>
            <w:tcW w:type="dxa" w:w="10440"/>
            <w:tcBorders>
              <w:top w:val="single" w:color="D9D9D9" w:sz="4"/>
              <w:left w:val="single" w:color="D9D9D9" w:sz="4"/>
              <w:bottom w:val="single" w:color="D9D9D9" w:sz="4"/>
              <w:right w:val="single" w:color="D9D9D9" w:sz="4"/>
            </w:tcBorders>
            <w:shd w:fill="A85CF6"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Jean — Cooperative Lead</w:t>
            </w:r>
          </w:p>
        </w:tc>
      </w:tr>
      <w:tr>
        <w:tc>
          <w:tcPr>
            <w:tcW w:type="dxa" w:w="2296"/>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color w:val="0B0F1A"/>
                <w:sz w:val="18"/>
                <w:szCs w:val="18"/>
              </w:rPr>
              <w:t xml:space="preserve">Where</w:t>
            </w:r>
          </w:p>
        </w:tc>
        <w:tc>
          <w:tcPr>
            <w:tcW w:type="dxa" w:w="814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Huye / Musanze (Phase 2)</w:t>
            </w:r>
          </w:p>
        </w:tc>
      </w:tr>
      <w:tr>
        <w:tc>
          <w:tcPr>
            <w:tcW w:type="dxa" w:w="2296"/>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color w:val="0B0F1A"/>
                <w:sz w:val="18"/>
                <w:szCs w:val="18"/>
              </w:rPr>
              <w:t xml:space="preserve">Primary channel</w:t>
            </w:r>
          </w:p>
        </w:tc>
        <w:tc>
          <w:tcPr>
            <w:tcW w:type="dxa" w:w="814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Phone calls, local associations</w:t>
            </w:r>
          </w:p>
        </w:tc>
      </w:tr>
      <w:tr>
        <w:tc>
          <w:tcPr>
            <w:tcW w:type="dxa" w:w="2296"/>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color w:val="0B0F1A"/>
                <w:sz w:val="18"/>
                <w:szCs w:val="18"/>
              </w:rPr>
              <w:t xml:space="preserve">Core pain</w:t>
            </w:r>
          </w:p>
        </w:tc>
        <w:tc>
          <w:tcPr>
            <w:tcW w:type="dxa" w:w="814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No digital records; trusts people over ads</w:t>
            </w:r>
          </w:p>
        </w:tc>
      </w:tr>
    </w:tbl>
    <w:p>
      <w:r>
        <w:br w:type="page"/>
      </w:r>
    </w:p>
    <w:p>
      <w:pPr>
        <w:spacing w:after="60" w:before="200"/>
      </w:pPr>
      <w:r>
        <w:rPr>
          <w:b/>
          <w:bCs/>
          <w:color w:val="5B6BFA"/>
          <w:sz w:val="20"/>
          <w:szCs w:val="20"/>
        </w:rPr>
        <w:t xml:space="preserve">— </w:t>
      </w:r>
      <w:r>
        <w:rPr>
          <w:b/>
          <w:bCs/>
          <w:color w:val="5B6BFA"/>
          <w:spacing w:val="20"/>
          <w:sz w:val="20"/>
          <w:szCs w:val="20"/>
        </w:rPr>
        <w:t xml:space="preserve">B3 — CHANNEL STRATEGY</w:t>
      </w:r>
    </w:p>
    <w:p>
      <w:pPr>
        <w:pStyle w:val="Heading1"/>
        <w:pBdr>
          <w:bottom w:val="single" w:color="0B0F1A" w:sz="12" w:space="6"/>
        </w:pBdr>
        <w:spacing w:after="150" w:before="380"/>
      </w:pPr>
      <w:r>
        <w:rPr>
          <w:rFonts w:ascii="Georgia" w:cs="Georgia" w:eastAsia="Georgia" w:hAnsi="Georgia"/>
          <w:b/>
          <w:bCs/>
          <w:color w:val="0B0F1A"/>
          <w:sz w:val="30"/>
          <w:szCs w:val="30"/>
        </w:rPr>
        <w:t xml:space="preserve">Channel Strategy for Kigali</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Layout w:type="fixed"/>
      </w:tblPr>
      <w:tblGrid>
        <w:gridCol w:w="100"/>
        <w:gridCol w:w="100"/>
        <w:gridCol w:w="100"/>
      </w:tblGrid>
      <w:tr>
        <w:tc>
          <w:tcPr>
            <w:tcW w:type="dxa" w:w="1879"/>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Channel</w:t>
            </w:r>
          </w:p>
        </w:tc>
        <w:tc>
          <w:tcPr>
            <w:tcW w:type="dxa" w:w="4593"/>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Why (Research Basis)</w:t>
            </w:r>
          </w:p>
        </w:tc>
        <w:tc>
          <w:tcPr>
            <w:tcW w:type="dxa" w:w="3967"/>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Primary Use</w:t>
            </w:r>
          </w:p>
        </w:tc>
      </w:tr>
      <w:tr>
        <w:tc>
          <w:tcPr>
            <w:tcW w:type="dxa" w:w="1879"/>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bCs/>
                <w:color w:val="0B0F1A"/>
                <w:sz w:val="16"/>
                <w:szCs w:val="16"/>
              </w:rPr>
              <w:t xml:space="preserve">Facebook</w:t>
            </w:r>
          </w:p>
        </w:tc>
        <w:tc>
          <w:tcPr>
            <w:tcW w:type="dxa" w:w="459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1.78M users in Rwanda (12% of population), dominant marketing platform, 18–24 largest segment</w:t>
            </w:r>
          </w:p>
        </w:tc>
        <w:tc>
          <w:tcPr>
            <w:tcW w:type="dxa" w:w="396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Awareness content, EBM-education video series, Academy course promotion</w:t>
            </w:r>
          </w:p>
        </w:tc>
      </w:tr>
      <w:tr>
        <w:tc>
          <w:tcPr>
            <w:tcW w:type="dxa" w:w="1879"/>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bCs/>
                <w:color w:val="0B0F1A"/>
                <w:sz w:val="16"/>
                <w:szCs w:val="16"/>
              </w:rPr>
              <w:t xml:space="preserve">LinkedIn</w:t>
            </w:r>
          </w:p>
        </w:tc>
        <w:tc>
          <w:tcPr>
            <w:tcW w:type="dxa" w:w="459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570–584K members (3.9% of pop.); ads reach 6.9% of adults 18+</w:t>
            </w:r>
          </w:p>
        </w:tc>
        <w:tc>
          <w:tcPr>
            <w:tcW w:type="dxa" w:w="396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B2B outreach to Gasabo corporates, Tech/Data case studies, hiring</w:t>
            </w:r>
          </w:p>
        </w:tc>
      </w:tr>
      <w:tr>
        <w:tc>
          <w:tcPr>
            <w:tcW w:type="dxa" w:w="1879"/>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bCs/>
                <w:color w:val="0B0F1A"/>
                <w:sz w:val="16"/>
                <w:szCs w:val="16"/>
              </w:rPr>
              <w:t xml:space="preserve">WhatsApp Business</w:t>
            </w:r>
          </w:p>
        </w:tc>
        <w:tc>
          <w:tcPr>
            <w:tcW w:type="dxa" w:w="459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13M mobile connections (88.7% of pop.) — near-universal reach</w:t>
            </w:r>
          </w:p>
        </w:tc>
        <w:tc>
          <w:tcPr>
            <w:tcW w:type="dxa" w:w="396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Direct SME sales conversations, appointment booking, receipts</w:t>
            </w:r>
          </w:p>
        </w:tc>
      </w:tr>
      <w:tr>
        <w:tc>
          <w:tcPr>
            <w:tcW w:type="dxa" w:w="1879"/>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bCs/>
                <w:color w:val="0B0F1A"/>
                <w:sz w:val="16"/>
                <w:szCs w:val="16"/>
              </w:rPr>
              <w:t xml:space="preserve">In-person / partnerships</w:t>
            </w:r>
          </w:p>
        </w:tc>
        <w:tc>
          <w:tcPr>
            <w:tcW w:type="dxa" w:w="4593"/>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PSF district chapters, RDB One Stop Centre, ICPAR</w:t>
            </w:r>
          </w:p>
        </w:tc>
        <w:tc>
          <w:tcPr>
            <w:tcW w:type="dxa" w:w="396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Trust-building, referral pipeline, credibility for Advisory</w:t>
            </w:r>
          </w:p>
        </w:tc>
      </w:tr>
    </w:tbl>
    <w:p>
      <w:pPr>
        <w:spacing w:after="60" w:before="200"/>
      </w:pPr>
      <w:r>
        <w:rPr>
          <w:b/>
          <w:bCs/>
          <w:color w:val="5B6BFA"/>
          <w:sz w:val="20"/>
          <w:szCs w:val="20"/>
        </w:rPr>
        <w:t xml:space="preserve">— </w:t>
      </w:r>
      <w:r>
        <w:rPr>
          <w:b/>
          <w:bCs/>
          <w:color w:val="5B6BFA"/>
          <w:spacing w:val="20"/>
          <w:sz w:val="20"/>
          <w:szCs w:val="20"/>
        </w:rPr>
        <w:t xml:space="preserve">B4 — CAMPAIGN CALENDAR</w:t>
      </w:r>
    </w:p>
    <w:p>
      <w:pPr>
        <w:pStyle w:val="Heading1"/>
        <w:pBdr>
          <w:bottom w:val="single" w:color="0B0F1A" w:sz="12" w:space="6"/>
        </w:pBdr>
        <w:spacing w:after="150" w:before="380"/>
      </w:pPr>
      <w:r>
        <w:rPr>
          <w:rFonts w:ascii="Georgia" w:cs="Georgia" w:eastAsia="Georgia" w:hAnsi="Georgia"/>
          <w:b/>
          <w:bCs/>
          <w:color w:val="0B0F1A"/>
          <w:sz w:val="30"/>
          <w:szCs w:val="30"/>
        </w:rPr>
        <w:t xml:space="preserve">90-Day Content &amp; Campaign Calendar</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Layout w:type="fixed"/>
      </w:tblPr>
      <w:tblGrid>
        <w:gridCol w:w="100"/>
        <w:gridCol w:w="100"/>
      </w:tblGrid>
      <w:tr>
        <w:tc>
          <w:tcPr>
            <w:tcW w:type="dxa" w:w="2714"/>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Phase</w:t>
            </w:r>
          </w:p>
        </w:tc>
        <w:tc>
          <w:tcPr>
            <w:tcW w:type="dxa" w:w="7725"/>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Focus</w:t>
            </w:r>
          </w:p>
        </w:tc>
      </w:tr>
      <w:tr>
        <w:tc>
          <w:tcPr>
            <w:tcW w:type="dxa" w:w="2714"/>
            <w:tcBorders>
              <w:top w:val="single" w:color="D9D9D9" w:sz="4"/>
              <w:left w:val="single" w:color="D9D9D9" w:sz="4"/>
              <w:bottom w:val="single" w:color="D9D9D9" w:sz="4"/>
              <w:right w:val="single" w:color="D9D9D9" w:sz="4"/>
            </w:tcBorders>
            <w:shd w:fill="5B6BFA" w:color="auto" w:val="clear"/>
            <w:tcMar>
              <w:top w:type="dxa" w:w="90"/>
              <w:left w:type="dxa" w:w="120"/>
              <w:bottom w:type="dxa" w:w="90"/>
              <w:right w:type="dxa" w:w="120"/>
            </w:tcMar>
            <w:vAlign w:val="center"/>
          </w:tcPr>
          <w:p>
            <w:pPr>
              <w:jc w:val="left"/>
            </w:pPr>
            <w:r>
              <w:rPr>
                <w:rFonts w:ascii="Inter" w:cs="Inter" w:eastAsia="Inter" w:hAnsi="Inter"/>
                <w:b/>
                <w:bCs/>
                <w:color w:val="FFFFFF"/>
                <w:sz w:val="16"/>
                <w:szCs w:val="16"/>
              </w:rPr>
              <w:t xml:space="preserve">Month 1 — Awareness</w:t>
            </w:r>
          </w:p>
        </w:tc>
        <w:tc>
          <w:tcPr>
            <w:tcW w:type="dxa" w:w="7725"/>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Brand launch across Facebook/LinkedIn; EBM-compliance educational content series; introductory meetings with PSF chapters and RDB referral contacts</w:t>
            </w:r>
          </w:p>
        </w:tc>
      </w:tr>
      <w:tr>
        <w:tc>
          <w:tcPr>
            <w:tcW w:type="dxa" w:w="2714"/>
            <w:tcBorders>
              <w:top w:val="single" w:color="D9D9D9" w:sz="4"/>
              <w:left w:val="single" w:color="D9D9D9" w:sz="4"/>
              <w:bottom w:val="single" w:color="D9D9D9" w:sz="4"/>
              <w:right w:val="single" w:color="D9D9D9" w:sz="4"/>
            </w:tcBorders>
            <w:shd w:fill="5B6BFA" w:color="auto" w:val="clear"/>
            <w:tcMar>
              <w:top w:type="dxa" w:w="90"/>
              <w:left w:type="dxa" w:w="120"/>
              <w:bottom w:type="dxa" w:w="90"/>
              <w:right w:type="dxa" w:w="120"/>
            </w:tcMar>
            <w:vAlign w:val="center"/>
          </w:tcPr>
          <w:p>
            <w:pPr>
              <w:jc w:val="left"/>
            </w:pPr>
            <w:r>
              <w:rPr>
                <w:rFonts w:ascii="Inter" w:cs="Inter" w:eastAsia="Inter" w:hAnsi="Inter"/>
                <w:b/>
                <w:bCs/>
                <w:color w:val="FFFFFF"/>
                <w:sz w:val="16"/>
                <w:szCs w:val="16"/>
              </w:rPr>
              <w:t xml:space="preserve">Month 2 — Lead Generation</w:t>
            </w:r>
          </w:p>
        </w:tc>
        <w:tc>
          <w:tcPr>
            <w:tcW w:type="dxa" w:w="7725"/>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Free EBM compliance clinic (in-person, Nyarugenge); Academy taster session; targeted LinkedIn outreach to Gasabo operations managers</w:t>
            </w:r>
          </w:p>
        </w:tc>
      </w:tr>
      <w:tr>
        <w:tc>
          <w:tcPr>
            <w:tcW w:type="dxa" w:w="2714"/>
            <w:tcBorders>
              <w:top w:val="single" w:color="D9D9D9" w:sz="4"/>
              <w:left w:val="single" w:color="D9D9D9" w:sz="4"/>
              <w:bottom w:val="single" w:color="D9D9D9" w:sz="4"/>
              <w:right w:val="single" w:color="D9D9D9" w:sz="4"/>
            </w:tcBorders>
            <w:shd w:fill="5B6BFA" w:color="auto" w:val="clear"/>
            <w:tcMar>
              <w:top w:type="dxa" w:w="90"/>
              <w:left w:type="dxa" w:w="120"/>
              <w:bottom w:type="dxa" w:w="90"/>
              <w:right w:type="dxa" w:w="120"/>
            </w:tcMar>
            <w:vAlign w:val="center"/>
          </w:tcPr>
          <w:p>
            <w:pPr>
              <w:jc w:val="left"/>
            </w:pPr>
            <w:r>
              <w:rPr>
                <w:rFonts w:ascii="Inter" w:cs="Inter" w:eastAsia="Inter" w:hAnsi="Inter"/>
                <w:b/>
                <w:bCs/>
                <w:color w:val="FFFFFF"/>
                <w:sz w:val="16"/>
                <w:szCs w:val="16"/>
              </w:rPr>
              <w:t xml:space="preserve">Month 3 — Conversion &amp; Proof</w:t>
            </w:r>
          </w:p>
        </w:tc>
        <w:tc>
          <w:tcPr>
            <w:tcW w:type="dxa" w:w="7725"/>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Publish first client case studies; launch referral incentive for existing Advisory clients; scouting visit to Huye and Musanze for Phase 2</w:t>
            </w:r>
          </w:p>
        </w:tc>
      </w:tr>
    </w:tbl>
    <w:p>
      <w:r>
        <w:br w:type="page"/>
      </w:r>
    </w:p>
    <w:p>
      <w:pPr>
        <w:spacing w:after="60" w:before="200"/>
      </w:pPr>
      <w:r>
        <w:rPr>
          <w:b/>
          <w:bCs/>
          <w:color w:val="5B6BFA"/>
          <w:sz w:val="20"/>
          <w:szCs w:val="20"/>
        </w:rPr>
        <w:t xml:space="preserve">— </w:t>
      </w:r>
      <w:r>
        <w:rPr>
          <w:b/>
          <w:bCs/>
          <w:color w:val="5B6BFA"/>
          <w:spacing w:val="20"/>
          <w:sz w:val="20"/>
          <w:szCs w:val="20"/>
        </w:rPr>
        <w:t xml:space="preserve">B5 — KIGALI ROLLOUT</w:t>
      </w:r>
    </w:p>
    <w:p>
      <w:pPr>
        <w:pStyle w:val="Heading1"/>
        <w:pBdr>
          <w:bottom w:val="single" w:color="0B0F1A" w:sz="12" w:space="6"/>
        </w:pBdr>
        <w:spacing w:after="150" w:before="380"/>
      </w:pPr>
      <w:r>
        <w:rPr>
          <w:rFonts w:ascii="Georgia" w:cs="Georgia" w:eastAsia="Georgia" w:hAnsi="Georgia"/>
          <w:b/>
          <w:bCs/>
          <w:color w:val="0B0F1A"/>
          <w:sz w:val="30"/>
          <w:szCs w:val="30"/>
        </w:rPr>
        <w:t xml:space="preserve">Kigali District Rollout Sequence</w:t>
      </w:r>
    </w:p>
    <w:p>
      <w:pPr>
        <w:pStyle w:val="ListParagraph"/>
        <w:numPr>
          <w:ilvl w:val="0"/>
          <w:numId w:val="1"/>
        </w:numPr>
        <w:spacing w:after="60"/>
      </w:pPr>
      <w:r>
        <w:rPr>
          <w:color w:val="26282E"/>
          <w:sz w:val="19"/>
          <w:szCs w:val="19"/>
        </w:rPr>
        <w:t xml:space="preserve">1st — Nyarugenge (CBD): historic financial district, ~37% of Kigali's commercial buildings, closest to RRA/RDB offices. Advisory anchor launches here.</w:t>
      </w:r>
    </w:p>
    <w:p>
      <w:pPr>
        <w:pStyle w:val="ListParagraph"/>
        <w:numPr>
          <w:ilvl w:val="0"/>
          <w:numId w:val="1"/>
        </w:numPr>
        <w:spacing w:after="60"/>
      </w:pPr>
      <w:r>
        <w:rPr>
          <w:color w:val="26282E"/>
          <w:sz w:val="19"/>
          <w:szCs w:val="19"/>
        </w:rPr>
        <w:t xml:space="preserve">2nd — Gasabo (Kacyiru, Kimihurura, Remera): largest commercial concentration (55.9% of sampled buildings), home to corporates and diplomatic/government offices. Tech and Data follow Advisory in here.</w:t>
      </w:r>
    </w:p>
    <w:p>
      <w:pPr>
        <w:pStyle w:val="ListParagraph"/>
        <w:numPr>
          <w:ilvl w:val="0"/>
          <w:numId w:val="1"/>
        </w:numPr>
        <w:spacing w:after="60"/>
      </w:pPr>
      <w:r>
        <w:rPr>
          <w:color w:val="26282E"/>
          <w:sz w:val="19"/>
          <w:szCs w:val="19"/>
        </w:rPr>
        <w:t xml:space="preserve">3rd — Kicukiro: residential, transit and industrial zones, including the airport corridor. Strongest fit for Data's entry/processing services and logistics-sector clients.</w:t>
      </w:r>
    </w:p>
    <w:p>
      <w:pPr>
        <w:spacing w:after="60" w:before="200"/>
      </w:pPr>
      <w:r>
        <w:rPr>
          <w:b/>
          <w:bCs/>
          <w:color w:val="5B6BFA"/>
          <w:sz w:val="20"/>
          <w:szCs w:val="20"/>
        </w:rPr>
        <w:t xml:space="preserve">— </w:t>
      </w:r>
      <w:r>
        <w:rPr>
          <w:b/>
          <w:bCs/>
          <w:color w:val="5B6BFA"/>
          <w:spacing w:val="20"/>
          <w:sz w:val="20"/>
          <w:szCs w:val="20"/>
        </w:rPr>
        <w:t xml:space="preserve">B6 — COUNTRYSIDE GROWTH STRATEGY</w:t>
      </w:r>
    </w:p>
    <w:p>
      <w:pPr>
        <w:pStyle w:val="Heading1"/>
        <w:pBdr>
          <w:bottom w:val="single" w:color="0B0F1A" w:sz="12" w:space="6"/>
        </w:pBdr>
        <w:spacing w:after="150" w:before="380"/>
      </w:pPr>
      <w:r>
        <w:rPr>
          <w:rFonts w:ascii="Georgia" w:cs="Georgia" w:eastAsia="Georgia" w:hAnsi="Georgia"/>
          <w:b/>
          <w:bCs/>
          <w:color w:val="0B0F1A"/>
          <w:sz w:val="30"/>
          <w:szCs w:val="30"/>
        </w:rPr>
        <w:t xml:space="preserve">Countryside Expansion Strategy (Phase 2, Month 4+)</w:t>
      </w:r>
    </w:p>
    <w:p>
      <w:pPr>
        <w:spacing w:after="130"/>
      </w:pPr>
      <w:r>
        <w:rPr>
          <w:color w:val="26282E"/>
          <w:sz w:val="19"/>
          <w:szCs w:val="19"/>
        </w:rPr>
        <w:t xml:space="preserve">Rwanda's National Strategy for Transformation designates six secondary cities — Huye, Muhanga, Musanze, Nyagatare, Rubavu, Rusizi — as growth poles to relieve pressure on Kigali, backed by ongoing road and infrastructure investment (RUDP II). Urban population in these cities is growing roughly 3.2% per year. Two are the strongest first targets:</w:t>
      </w:r>
    </w:p>
    <w:p>
      <w:pPr>
        <w:pStyle w:val="ListParagraph"/>
        <w:numPr>
          <w:ilvl w:val="0"/>
          <w:numId w:val="1"/>
        </w:numPr>
        <w:spacing w:after="60"/>
      </w:pPr>
      <w:r>
        <w:rPr>
          <w:color w:val="26282E"/>
          <w:sz w:val="19"/>
          <w:szCs w:val="19"/>
        </w:rPr>
        <w:t xml:space="preserve">Huye — the Southern corridor city along Highway 1 via Muhanga, known as Rwanda's intellectual and cultural centre and a human-capital hub. Strong fit for Academy first: training travels cheaply and builds trust ahead of a compliance sale.</w:t>
      </w:r>
    </w:p>
    <w:p>
      <w:pPr>
        <w:pStyle w:val="ListParagraph"/>
        <w:numPr>
          <w:ilvl w:val="0"/>
          <w:numId w:val="1"/>
        </w:numPr>
        <w:spacing w:after="60"/>
      </w:pPr>
      <w:r>
        <w:rPr>
          <w:color w:val="26282E"/>
          <w:sz w:val="19"/>
          <w:szCs w:val="19"/>
        </w:rPr>
        <w:t xml:space="preserve">Musanze — the Virunga-belt city with a growing tourism and agriculture-driven commercial base. Good second target once the Huye playbook is proven.</w:t>
      </w:r>
    </w:p>
    <w:p>
      <w:pPr>
        <w:spacing w:after="130"/>
      </w:pPr>
      <w:r>
        <w:rPr>
          <w:color w:val="26282E"/>
          <w:sz w:val="19"/>
          <w:szCs w:val="19"/>
        </w:rPr>
        <w:t xml:space="preserve">Recommended sequencing: Academy roadshow first (lowest cost, highest trust, no local office required), Advisory delivered hybrid/remote once trust is established, Tech and Data remain Kigali-hub with remote delivery — internet reliability and developer/analyst talent are still concentrated in Kigali per the research above.</w:t>
      </w:r>
    </w:p>
    <w:p>
      <w:r>
        <w:br w:type="page"/>
      </w:r>
    </w:p>
    <w:p>
      <w:pPr>
        <w:spacing w:after="60" w:before="200"/>
      </w:pPr>
      <w:r>
        <w:rPr>
          <w:b/>
          <w:bCs/>
          <w:color w:val="5B6BFA"/>
          <w:sz w:val="20"/>
          <w:szCs w:val="20"/>
        </w:rPr>
        <w:t xml:space="preserve">— </w:t>
      </w:r>
      <w:r>
        <w:rPr>
          <w:b/>
          <w:bCs/>
          <w:color w:val="5B6BFA"/>
          <w:spacing w:val="20"/>
          <w:sz w:val="20"/>
          <w:szCs w:val="20"/>
        </w:rPr>
        <w:t xml:space="preserve">B7 — PARTNERSHIPS</w:t>
      </w:r>
    </w:p>
    <w:p>
      <w:pPr>
        <w:pStyle w:val="Heading1"/>
        <w:pBdr>
          <w:bottom w:val="single" w:color="0B0F1A" w:sz="12" w:space="6"/>
        </w:pBdr>
        <w:spacing w:after="150" w:before="380"/>
      </w:pPr>
      <w:r>
        <w:rPr>
          <w:rFonts w:ascii="Georgia" w:cs="Georgia" w:eastAsia="Georgia" w:hAnsi="Georgia"/>
          <w:b/>
          <w:bCs/>
          <w:color w:val="0B0F1A"/>
          <w:sz w:val="30"/>
          <w:szCs w:val="30"/>
        </w:rPr>
        <w:t xml:space="preserve">Partnerships &amp; Referral Network</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Layout w:type="fixed"/>
      </w:tblPr>
      <w:tblGrid>
        <w:gridCol w:w="100"/>
        <w:gridCol w:w="100"/>
      </w:tblGrid>
      <w:tr>
        <w:tc>
          <w:tcPr>
            <w:tcW w:type="dxa" w:w="4176"/>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Partner</w:t>
            </w:r>
          </w:p>
        </w:tc>
        <w:tc>
          <w:tcPr>
            <w:tcW w:type="dxa" w:w="6264"/>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color w:val="FFFFFF"/>
                <w:sz w:val="18"/>
                <w:szCs w:val="18"/>
              </w:rPr>
              <w:t xml:space="preserve">Value to Z-GATE</w:t>
            </w:r>
          </w:p>
        </w:tc>
      </w:tr>
      <w:tr>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RDB One Stop Centre</w:t>
            </w:r>
          </w:p>
        </w:tc>
        <w:tc>
          <w:tcPr>
            <w:tcW w:type="dxa" w:w="6264"/>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Referral pipeline for newly registered businesses needing Advisory</w:t>
            </w:r>
          </w:p>
        </w:tc>
      </w:tr>
      <w:tr>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PSF (Private Sector Federation) district chapters</w:t>
            </w:r>
          </w:p>
        </w:tc>
        <w:tc>
          <w:tcPr>
            <w:tcW w:type="dxa" w:w="6264"/>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Trust-building, SME access in Nyarugenge and secondary cities</w:t>
            </w:r>
          </w:p>
        </w:tc>
      </w:tr>
      <w:tr>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ICPAR (Institute of Certified Public Accountants Rwanda)</w:t>
            </w:r>
          </w:p>
        </w:tc>
        <w:tc>
          <w:tcPr>
            <w:tcW w:type="dxa" w:w="6264"/>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Professional credibility for Advisory</w:t>
            </w:r>
          </w:p>
        </w:tc>
      </w:tr>
      <w:tr>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Universities &amp; TVET schools (Academy trainer pipeline)</w:t>
            </w:r>
          </w:p>
        </w:tc>
        <w:tc>
          <w:tcPr>
            <w:tcW w:type="dxa" w:w="6264"/>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Contract trainers and course credibility</w:t>
            </w:r>
          </w:p>
        </w:tc>
      </w:tr>
      <w:tr>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Software vendors (Zoho / Frappe or equivalent)</w:t>
            </w:r>
          </w:p>
        </w:tc>
        <w:tc>
          <w:tcPr>
            <w:tcW w:type="dxa" w:w="6264"/>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color w:val="0B0F1A"/>
                <w:sz w:val="16"/>
                <w:szCs w:val="16"/>
              </w:rPr>
              <w:t xml:space="preserve">Implementation partnership for Tech, following the model ALSM already validated</w:t>
            </w:r>
          </w:p>
        </w:tc>
      </w:tr>
    </w:tbl>
    <w:p>
      <w:pPr>
        <w:spacing w:after="60" w:before="200"/>
      </w:pPr>
      <w:r>
        <w:rPr>
          <w:b/>
          <w:bCs/>
          <w:color w:val="5B6BFA"/>
          <w:sz w:val="20"/>
          <w:szCs w:val="20"/>
        </w:rPr>
        <w:t xml:space="preserve">— </w:t>
      </w:r>
      <w:r>
        <w:rPr>
          <w:b/>
          <w:bCs/>
          <w:color w:val="5B6BFA"/>
          <w:spacing w:val="20"/>
          <w:sz w:val="20"/>
          <w:szCs w:val="20"/>
        </w:rPr>
        <w:t xml:space="preserve">B8 &amp; B9 — BUDGET &amp; MEASUREMENT</w:t>
      </w:r>
    </w:p>
    <w:p>
      <w:pPr>
        <w:pStyle w:val="Heading1"/>
        <w:pBdr>
          <w:bottom w:val="single" w:color="0B0F1A" w:sz="12" w:space="6"/>
        </w:pBdr>
        <w:spacing w:after="150" w:before="380"/>
      </w:pPr>
      <w:r>
        <w:rPr>
          <w:rFonts w:ascii="Georgia" w:cs="Georgia" w:eastAsia="Georgia" w:hAnsi="Georgia"/>
          <w:b/>
          <w:bCs/>
          <w:color w:val="0B0F1A"/>
          <w:sz w:val="30"/>
          <w:szCs w:val="30"/>
        </w:rPr>
        <w:t xml:space="preserve">Marketing Budget &amp; KPIs</w:t>
      </w:r>
    </w:p>
    <w:p>
      <w:pPr>
        <w:spacing w:after="130"/>
      </w:pPr>
      <w:r>
        <w:rPr>
          <w:color w:val="26282E"/>
          <w:sz w:val="19"/>
          <w:szCs w:val="19"/>
        </w:rPr>
        <w:t xml:space="preserve">Recommend testing paid digital spend at a modest scale in Month 1 (Rwanda's total social ad market is projected around USD 15M for 2026 — a new entrant should test small and scale what converts) alongside low-cost, partnership-led tactics (PSF introductions, RDB referrals) that carry no media cost.</w:t>
      </w:r>
    </w:p>
    <w:p>
      <w:pPr>
        <w:pStyle w:val="ListParagraph"/>
        <w:numPr>
          <w:ilvl w:val="0"/>
          <w:numId w:val="1"/>
        </w:numPr>
        <w:spacing w:after="60"/>
      </w:pPr>
      <w:r>
        <w:rPr>
          <w:color w:val="26282E"/>
          <w:sz w:val="19"/>
          <w:szCs w:val="19"/>
        </w:rPr>
        <w:t xml:space="preserve">Reach: combined Facebook + LinkedIn reach of 15,000+ unique accounts by Day 90.</w:t>
      </w:r>
    </w:p>
    <w:p>
      <w:pPr>
        <w:pStyle w:val="ListParagraph"/>
        <w:numPr>
          <w:ilvl w:val="0"/>
          <w:numId w:val="1"/>
        </w:numPr>
        <w:spacing w:after="60"/>
      </w:pPr>
      <w:r>
        <w:rPr>
          <w:color w:val="26282E"/>
          <w:sz w:val="19"/>
          <w:szCs w:val="19"/>
        </w:rPr>
        <w:t xml:space="preserve">Leads: 500+ qualified contacts captured across WhatsApp Business, Facebook, and LinkedIn.</w:t>
      </w:r>
    </w:p>
    <w:p>
      <w:pPr>
        <w:pStyle w:val="ListParagraph"/>
        <w:numPr>
          <w:ilvl w:val="0"/>
          <w:numId w:val="1"/>
        </w:numPr>
        <w:spacing w:after="60"/>
      </w:pPr>
      <w:r>
        <w:rPr>
          <w:color w:val="26282E"/>
          <w:sz w:val="19"/>
          <w:szCs w:val="19"/>
        </w:rPr>
        <w:t xml:space="preserve">Conversion: 10 Advisory retainer clients, 30+ Academy learners, 1 Data client, 1 Tech external conversation (mirrors Part A KPIs).</w:t>
      </w:r>
    </w:p>
    <w:p>
      <w:pPr>
        <w:pStyle w:val="ListParagraph"/>
        <w:numPr>
          <w:ilvl w:val="0"/>
          <w:numId w:val="1"/>
        </w:numPr>
        <w:spacing w:after="60"/>
      </w:pPr>
      <w:r>
        <w:rPr>
          <w:color w:val="26282E"/>
          <w:sz w:val="19"/>
          <w:szCs w:val="19"/>
        </w:rPr>
        <w:t xml:space="preserve">Partnership pipeline: active referral relationship with at least 1 PSF chapter and the RDB One Stop Centre by Day 90.</w:t>
      </w:r>
    </w:p>
    <w:p>
      <w:r>
        <w:br w:type="page"/>
      </w:r>
    </w:p>
    <w:p>
      <w:pPr>
        <w:spacing w:after="60" w:before="200"/>
      </w:pPr>
      <w:r>
        <w:rPr>
          <w:b/>
          <w:bCs/>
          <w:color w:val="5B6BFA"/>
          <w:sz w:val="20"/>
          <w:szCs w:val="20"/>
        </w:rPr>
        <w:t xml:space="preserve">— </w:t>
      </w:r>
      <w:r>
        <w:rPr>
          <w:b/>
          <w:bCs/>
          <w:color w:val="5B6BFA"/>
          <w:spacing w:val="20"/>
          <w:sz w:val="20"/>
          <w:szCs w:val="20"/>
        </w:rPr>
        <w:t xml:space="preserve">RECOMMENDATIONS</w:t>
      </w:r>
    </w:p>
    <w:p>
      <w:pPr>
        <w:pStyle w:val="Heading1"/>
        <w:pBdr>
          <w:bottom w:val="single" w:color="0B0F1A" w:sz="12" w:space="6"/>
        </w:pBdr>
        <w:spacing w:after="150" w:before="380"/>
      </w:pPr>
      <w:r>
        <w:rPr>
          <w:rFonts w:ascii="Georgia" w:cs="Georgia" w:eastAsia="Georgia" w:hAnsi="Georgia"/>
          <w:b/>
          <w:bCs/>
          <w:color w:val="0B0F1A"/>
          <w:sz w:val="30"/>
          <w:szCs w:val="30"/>
        </w:rPr>
        <w:t xml:space="preserve">Strategic Recommendations</w:t>
      </w:r>
    </w:p>
    <w:p>
      <w:pPr>
        <w:pStyle w:val="ListParagraph"/>
        <w:numPr>
          <w:ilvl w:val="0"/>
          <w:numId w:val="1"/>
        </w:numPr>
        <w:spacing w:after="60"/>
      </w:pPr>
      <w:r>
        <w:rPr>
          <w:color w:val="26282E"/>
          <w:sz w:val="19"/>
          <w:szCs w:val="19"/>
        </w:rPr>
        <w:t xml:space="preserve">Lead with the EBM/VAT compliance pain point as Advisory's flagship hook — it is the most documented, most acute problem in the research (59% of SMEs struggle to operate EBM; 51% cite affordability).</w:t>
      </w:r>
    </w:p>
    <w:p>
      <w:pPr>
        <w:pStyle w:val="ListParagraph"/>
        <w:numPr>
          <w:ilvl w:val="0"/>
          <w:numId w:val="1"/>
        </w:numPr>
        <w:spacing w:after="60"/>
      </w:pPr>
      <w:r>
        <w:rPr>
          <w:color w:val="26282E"/>
          <w:sz w:val="19"/>
          <w:szCs w:val="19"/>
        </w:rPr>
        <w:t xml:space="preserve">Resolve the five REVIEW-status registered activity codes (photojournalism, materials testing, architecture, print publishing, inpatient consulting) with legal counsel before scaling marketing spend, so the public registration record matches the brand the market will see.</w:t>
      </w:r>
    </w:p>
    <w:p>
      <w:pPr>
        <w:pStyle w:val="ListParagraph"/>
        <w:numPr>
          <w:ilvl w:val="0"/>
          <w:numId w:val="1"/>
        </w:numPr>
        <w:spacing w:after="60"/>
      </w:pPr>
      <w:r>
        <w:rPr>
          <w:color w:val="26282E"/>
          <w:sz w:val="19"/>
          <w:szCs w:val="19"/>
        </w:rPr>
        <w:t xml:space="preserve">Hire the first Advisory associate before the first marketing hire — Advisory is both the flagship and the current single-founder bottleneck.</w:t>
      </w:r>
    </w:p>
    <w:p>
      <w:pPr>
        <w:pStyle w:val="ListParagraph"/>
        <w:numPr>
          <w:ilvl w:val="0"/>
          <w:numId w:val="1"/>
        </w:numPr>
        <w:spacing w:after="60"/>
      </w:pPr>
      <w:r>
        <w:rPr>
          <w:color w:val="26282E"/>
          <w:sz w:val="19"/>
          <w:szCs w:val="19"/>
        </w:rPr>
        <w:t xml:space="preserve">Build Tech and Data first as internal reference tools (Advisory's own portal, Advisory's own reporting) before selling either division externally — a working internal case study sells faster and costs less than a campaign.</w:t>
      </w:r>
    </w:p>
    <w:p>
      <w:pPr>
        <w:pStyle w:val="ListParagraph"/>
        <w:numPr>
          <w:ilvl w:val="0"/>
          <w:numId w:val="1"/>
        </w:numPr>
        <w:spacing w:after="60"/>
      </w:pPr>
      <w:r>
        <w:rPr>
          <w:color w:val="26282E"/>
          <w:sz w:val="19"/>
          <w:szCs w:val="19"/>
        </w:rPr>
        <w:t xml:space="preserve">Stay Kigali-only for the first 90 days; open Phase 2 in Huye and Musanze in Month 4+, leading with Academy, which travels cheapest and builds trust fastest.</w:t>
      </w:r>
    </w:p>
    <w:p>
      <w:pPr>
        <w:pStyle w:val="ListParagraph"/>
        <w:numPr>
          <w:ilvl w:val="0"/>
          <w:numId w:val="1"/>
        </w:numPr>
        <w:spacing w:after="60"/>
      </w:pPr>
      <w:r>
        <w:rPr>
          <w:color w:val="26282E"/>
          <w:sz w:val="19"/>
          <w:szCs w:val="19"/>
        </w:rPr>
        <w:t xml:space="preserve">Track ALSM Consulting Group as the closest direct competitor — its bundled advisory-plus-technology model is existing proof that the Rwandan market rewards integration over single-service providers.</w:t>
      </w:r>
    </w:p>
    <w:p>
      <w:pPr>
        <w:spacing w:after="130"/>
      </w:pPr>
      <w:r>
        <w:rPr>
          <w:i/>
          <w:iCs/>
          <w:color w:val="6B7280"/>
          <w:sz w:val="17"/>
          <w:szCs w:val="17"/>
        </w:rPr>
        <w:t xml:space="preserve">This plan and strategy are grounded in the market research summarized in Part A, Section A2, and should be revisited at Day 90 against the KPIs in Sections A10 and B9 before committing to Phase 2 countryside expansion.</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3"/>
        <w:szCs w:val="13"/>
      </w:rPr>
      <w:t xml:space="preserve">Confidential — Prepared for internal strategic use  ·  Page </w:t>
    </w:r>
    <w:r>
      <w:rPr>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pacing w:val="10"/>
        <w:sz w:val="13"/>
        <w:szCs w:val="13"/>
      </w:rPr>
      <w:t xml:space="preserve">Z-GATE LTD  ·  90-DAY BUSINESS PLAN &amp; GTM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6282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2026-08-27T11:53:22.330Z</dcterms:created>
  <dcterms:modified xsi:type="dcterms:W3CDTF">2026-08-27T11:53:22.344Z</dcterms:modified>
</cp:coreProperties>
</file>

<file path=docProps/custom.xml><?xml version="1.0" encoding="utf-8"?>
<Properties xmlns="http://schemas.openxmlformats.org/officeDocument/2006/custom-properties" xmlns:vt="http://schemas.openxmlformats.org/officeDocument/2006/docPropsVTypes"/>
</file>