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B6BFA"/>
          <w:spacing w:val="30"/>
          <w:sz w:val="20"/>
          <w:szCs w:val="20"/>
        </w:rPr>
        <w:t xml:space="preserve">BUSINESS PROJECT DEVELOPMENT REPORT</w:t>
      </w:r>
    </w:p>
    <w:p>
      <w:pPr>
        <w:spacing w:after="80" w:before="260"/>
        <w:jc w:val="center"/>
      </w:pPr>
      <w:r>
        <w:rPr>
          <w:rFonts w:ascii="Georgia" w:cs="Georgia" w:eastAsia="Georgia" w:hAnsi="Georgia"/>
          <w:b/>
          <w:bCs/>
          <w:color w:val="0B0F1A"/>
          <w:sz w:val="64"/>
          <w:szCs w:val="64"/>
        </w:rPr>
        <w:t xml:space="preserve">Z-GATE LTD</w:t>
      </w:r>
    </w:p>
    <w:p>
      <w:pPr>
        <w:spacing w:after="500"/>
        <w:jc w:val="center"/>
      </w:pPr>
      <w:r>
        <w:rPr>
          <w:i/>
          <w:iCs/>
          <w:color w:val="34E0C9"/>
          <w:sz w:val="24"/>
          <w:szCs w:val="24"/>
        </w:rPr>
        <w:t xml:space="preserve">Where Business Meets Technology</w:t>
      </w:r>
    </w:p>
    <w:tbl>
      <w:tblPr>
        <w:tblW w:type="dxa" w:w="10440"/>
        <w:jc w:val="center"/>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4176"/>
            <w:tcBorders>
              <w:top w:val="single" w:color="D9D9D9" w:sz="4"/>
              <w:left w:val="single" w:color="D9D9D9" w:sz="4"/>
              <w:bottom w:val="single" w:color="D9D9D9" w:sz="4"/>
              <w:right w:val="single" w:color="D9D9D9" w:sz="4"/>
            </w:tcBorders>
            <w:shd w:fill="F3F4F6" w:color="auto" w:val="clear"/>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Company Code / TIN</w:t>
            </w:r>
          </w:p>
        </w:tc>
        <w:tc>
          <w:tcPr>
            <w:tcW w:type="dxa" w:w="6264"/>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156848508</w:t>
            </w:r>
          </w:p>
        </w:tc>
      </w:tr>
      <w:tr>
        <w:tc>
          <w:tcPr>
            <w:tcW w:type="dxa" w:w="4176"/>
            <w:tcBorders>
              <w:top w:val="single" w:color="D9D9D9" w:sz="4"/>
              <w:left w:val="single" w:color="D9D9D9" w:sz="4"/>
              <w:bottom w:val="single" w:color="D9D9D9" w:sz="4"/>
              <w:right w:val="single" w:color="D9D9D9" w:sz="4"/>
            </w:tcBorders>
            <w:shd w:fill="F3F4F6" w:color="auto" w:val="clear"/>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Registration Date</w:t>
            </w:r>
          </w:p>
        </w:tc>
        <w:tc>
          <w:tcPr>
            <w:tcW w:type="dxa" w:w="6264"/>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19 August 2026</w:t>
            </w:r>
          </w:p>
        </w:tc>
      </w:tr>
      <w:tr>
        <w:tc>
          <w:tcPr>
            <w:tcW w:type="dxa" w:w="4176"/>
            <w:tcBorders>
              <w:top w:val="single" w:color="D9D9D9" w:sz="4"/>
              <w:left w:val="single" w:color="D9D9D9" w:sz="4"/>
              <w:bottom w:val="single" w:color="D9D9D9" w:sz="4"/>
              <w:right w:val="single" w:color="D9D9D9" w:sz="4"/>
            </w:tcBorders>
            <w:shd w:fill="F3F4F6" w:color="auto" w:val="clear"/>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Category / Type</w:t>
            </w:r>
          </w:p>
        </w:tc>
        <w:tc>
          <w:tcPr>
            <w:tcW w:type="dxa" w:w="6264"/>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Private — Company Limited by Shares</w:t>
            </w:r>
          </w:p>
        </w:tc>
      </w:tr>
      <w:tr>
        <w:tc>
          <w:tcPr>
            <w:tcW w:type="dxa" w:w="4176"/>
            <w:tcBorders>
              <w:top w:val="single" w:color="D9D9D9" w:sz="4"/>
              <w:left w:val="single" w:color="D9D9D9" w:sz="4"/>
              <w:bottom w:val="single" w:color="D9D9D9" w:sz="4"/>
              <w:right w:val="single" w:color="D9D9D9" w:sz="4"/>
            </w:tcBorders>
            <w:shd w:fill="F3F4F6" w:color="auto" w:val="clear"/>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Registered Office</w:t>
            </w:r>
          </w:p>
        </w:tc>
        <w:tc>
          <w:tcPr>
            <w:tcW w:type="dxa" w:w="6264"/>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Inyarurembo, Kiyovu, Nyarugenge, Kigali, Rwanda</w:t>
            </w:r>
          </w:p>
        </w:tc>
      </w:tr>
      <w:tr>
        <w:tc>
          <w:tcPr>
            <w:tcW w:type="dxa" w:w="4176"/>
            <w:tcBorders>
              <w:top w:val="single" w:color="D9D9D9" w:sz="4"/>
              <w:left w:val="single" w:color="D9D9D9" w:sz="4"/>
              <w:bottom w:val="single" w:color="D9D9D9" w:sz="4"/>
              <w:right w:val="single" w:color="D9D9D9" w:sz="4"/>
            </w:tcBorders>
            <w:shd w:fill="F3F4F6" w:color="auto" w:val="clear"/>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Prepared For</w:t>
            </w:r>
          </w:p>
        </w:tc>
        <w:tc>
          <w:tcPr>
            <w:tcW w:type="dxa" w:w="6264"/>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Aime Serge UKOBIZABA — Managing Director</w:t>
            </w:r>
          </w:p>
        </w:tc>
      </w:tr>
      <w:tr>
        <w:tc>
          <w:tcPr>
            <w:tcW w:type="dxa" w:w="4176"/>
            <w:tcBorders>
              <w:top w:val="single" w:color="D9D9D9" w:sz="4"/>
              <w:left w:val="single" w:color="D9D9D9" w:sz="4"/>
              <w:bottom w:val="single" w:color="D9D9D9" w:sz="4"/>
              <w:right w:val="single" w:color="D9D9D9" w:sz="4"/>
            </w:tcBorders>
            <w:shd w:fill="F3F4F6" w:color="auto" w:val="clear"/>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Prepared By</w:t>
            </w:r>
          </w:p>
        </w:tc>
        <w:tc>
          <w:tcPr>
            <w:tcW w:type="dxa" w:w="6264"/>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Z-GATE Business Project Development Desk</w:t>
            </w:r>
          </w:p>
        </w:tc>
      </w:tr>
      <w:tr>
        <w:tc>
          <w:tcPr>
            <w:tcW w:type="dxa" w:w="4176"/>
            <w:tcBorders>
              <w:top w:val="single" w:color="D9D9D9" w:sz="4"/>
              <w:left w:val="single" w:color="D9D9D9" w:sz="4"/>
              <w:bottom w:val="single" w:color="D9D9D9" w:sz="4"/>
              <w:right w:val="single" w:color="D9D9D9" w:sz="4"/>
            </w:tcBorders>
            <w:shd w:fill="F3F4F6" w:color="auto" w:val="clear"/>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Date Issued</w:t>
            </w:r>
          </w:p>
        </w:tc>
        <w:tc>
          <w:tcPr>
            <w:tcW w:type="dxa" w:w="6264"/>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24 August 2026</w:t>
            </w:r>
          </w:p>
        </w:tc>
      </w:tr>
    </w:tbl>
    <w:p>
      <w:r>
        <w:br w:type="page"/>
      </w:r>
    </w:p>
    <w:p>
      <w:pPr>
        <w:spacing w:after="60" w:before="200"/>
      </w:pPr>
      <w:r>
        <w:rPr>
          <w:b/>
          <w:bCs/>
          <w:color w:val="5B6BFA"/>
          <w:sz w:val="20"/>
          <w:szCs w:val="20"/>
        </w:rPr>
        <w:t xml:space="preserve">— </w:t>
      </w:r>
      <w:r>
        <w:rPr>
          <w:b/>
          <w:bCs/>
          <w:color w:val="5B6BFA"/>
          <w:spacing w:val="20"/>
          <w:sz w:val="20"/>
          <w:szCs w:val="20"/>
        </w:rPr>
        <w:t xml:space="preserve">SECTION 01</w:t>
      </w:r>
    </w:p>
    <w:p>
      <w:pPr>
        <w:pStyle w:val="Heading1"/>
        <w:pBdr>
          <w:bottom w:val="single" w:color="0B0F1A" w:sz="12" w:space="6"/>
        </w:pBdr>
        <w:spacing w:after="160" w:before="400"/>
      </w:pPr>
      <w:r>
        <w:rPr>
          <w:rFonts w:ascii="Georgia" w:cs="Georgia" w:eastAsia="Georgia" w:hAnsi="Georgia"/>
          <w:b/>
          <w:bCs/>
          <w:color w:val="0B0F1A"/>
          <w:sz w:val="32"/>
          <w:szCs w:val="32"/>
        </w:rPr>
        <w:t xml:space="preserve">Company Registration Summary</w:t>
      </w:r>
    </w:p>
    <w:p>
      <w:pPr>
        <w:spacing w:after="140"/>
      </w:pPr>
      <w:r>
        <w:rPr>
          <w:color w:val="26282E"/>
          <w:sz w:val="20"/>
          <w:szCs w:val="20"/>
        </w:rPr>
        <w:t xml:space="preserve">Source: Office of the Registrar General (RDB), Full Registration Information of Domestic Company, printed 19 August 2026. This section restates the certificate's core facts as the factual foundation for the strategy that follows.</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3340"/>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left"/>
            </w:pPr>
            <w:r>
              <w:rPr>
                <w:rFonts w:ascii="Inter" w:cs="Inter" w:eastAsia="Inter" w:hAnsi="Inter"/>
                <w:b/>
                <w:bCs/>
                <w:color w:val="FFFFFF"/>
                <w:sz w:val="19"/>
                <w:szCs w:val="19"/>
              </w:rPr>
              <w:t xml:space="preserve">Company Name</w:t>
            </w:r>
          </w:p>
        </w:tc>
        <w:tc>
          <w:tcPr>
            <w:tcW w:type="dxa" w:w="7099"/>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Z-GATE LTD</w:t>
            </w:r>
          </w:p>
        </w:tc>
      </w:tr>
      <w:tr>
        <w:tc>
          <w:tcPr>
            <w:tcW w:type="dxa" w:w="3340"/>
            <w:tcBorders>
              <w:top w:val="single" w:color="D9D9D9" w:sz="4"/>
              <w:left w:val="single" w:color="D9D9D9" w:sz="4"/>
              <w:bottom w:val="single" w:color="D9D9D9" w:sz="4"/>
              <w:right w:val="single" w:color="D9D9D9" w:sz="4"/>
            </w:tcBorders>
            <w:shd w:fill="F3F4F6" w:color="auto" w:val="clear"/>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Managing Director</w:t>
            </w:r>
          </w:p>
        </w:tc>
        <w:tc>
          <w:tcPr>
            <w:tcW w:type="dxa" w:w="7099"/>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Aime Serge UKOBIZABA (also Chairperson, Board)</w:t>
            </w:r>
          </w:p>
        </w:tc>
      </w:tr>
      <w:tr>
        <w:tc>
          <w:tcPr>
            <w:tcW w:type="dxa" w:w="3340"/>
            <w:tcBorders>
              <w:top w:val="single" w:color="D9D9D9" w:sz="4"/>
              <w:left w:val="single" w:color="D9D9D9" w:sz="4"/>
              <w:bottom w:val="single" w:color="D9D9D9" w:sz="4"/>
              <w:right w:val="single" w:color="D9D9D9" w:sz="4"/>
            </w:tcBorders>
            <w:shd w:fill="F3F4F6" w:color="auto" w:val="clear"/>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Phone / Email</w:t>
            </w:r>
          </w:p>
        </w:tc>
        <w:tc>
          <w:tcPr>
            <w:tcW w:type="dxa" w:w="7099"/>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+250 792 957 513  ·  info@zgaterw.com</w:t>
            </w:r>
          </w:p>
        </w:tc>
      </w:tr>
      <w:tr>
        <w:tc>
          <w:tcPr>
            <w:tcW w:type="dxa" w:w="3340"/>
            <w:tcBorders>
              <w:top w:val="single" w:color="D9D9D9" w:sz="4"/>
              <w:left w:val="single" w:color="D9D9D9" w:sz="4"/>
              <w:bottom w:val="single" w:color="D9D9D9" w:sz="4"/>
              <w:right w:val="single" w:color="D9D9D9" w:sz="4"/>
            </w:tcBorders>
            <w:shd w:fill="F3F4F6" w:color="auto" w:val="clear"/>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Financial Year Start</w:t>
            </w:r>
          </w:p>
        </w:tc>
        <w:tc>
          <w:tcPr>
            <w:tcW w:type="dxa" w:w="7099"/>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1 January</w:t>
            </w:r>
          </w:p>
        </w:tc>
      </w:tr>
      <w:tr>
        <w:tc>
          <w:tcPr>
            <w:tcW w:type="dxa" w:w="3340"/>
            <w:tcBorders>
              <w:top w:val="single" w:color="D9D9D9" w:sz="4"/>
              <w:left w:val="single" w:color="D9D9D9" w:sz="4"/>
              <w:bottom w:val="single" w:color="D9D9D9" w:sz="4"/>
              <w:right w:val="single" w:color="D9D9D9" w:sz="4"/>
            </w:tcBorders>
            <w:shd w:fill="F3F4F6" w:color="auto" w:val="clear"/>
            <w:tcMar>
              <w:top w:type="dxa" w:w="90"/>
              <w:left w:type="dxa" w:w="130"/>
              <w:bottom w:type="dxa" w:w="90"/>
              <w:right w:type="dxa" w:w="130"/>
            </w:tcMar>
            <w:vAlign w:val="center"/>
          </w:tcPr>
          <w:p>
            <w:pPr>
              <w:jc w:val="left"/>
            </w:pPr>
            <w:r>
              <w:rPr>
                <w:rFonts w:ascii="Inter" w:cs="Inter" w:eastAsia="Inter" w:hAnsi="Inter"/>
                <w:b/>
                <w:bCs/>
                <w:color w:val="0B0F1A"/>
                <w:sz w:val="19"/>
                <w:szCs w:val="19"/>
              </w:rPr>
              <w:t xml:space="preserve">Founding Shareholder</w:t>
            </w:r>
          </w:p>
        </w:tc>
        <w:tc>
          <w:tcPr>
            <w:tcW w:type="dxa" w:w="7099"/>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Aime Serge UKOBIZABA — 100 Ordinary Shares (100%)</w:t>
            </w:r>
          </w:p>
        </w:tc>
      </w:tr>
    </w:tbl>
    <w:p>
      <w:pPr>
        <w:pStyle w:val="Heading2"/>
        <w:spacing w:after="120" w:before="260"/>
      </w:pPr>
      <w:r>
        <w:rPr>
          <w:rFonts w:ascii="Georgia" w:cs="Georgia" w:eastAsia="Georgia" w:hAnsi="Georgia"/>
          <w:b/>
          <w:bCs/>
          <w:color w:val="5B6BFA"/>
          <w:sz w:val="24"/>
          <w:szCs w:val="24"/>
        </w:rPr>
        <w:t xml:space="preserve">Share Capital Structure</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gridCol w:w="100"/>
        <w:gridCol w:w="100"/>
      </w:tblGrid>
      <w:tr>
        <w:tc>
          <w:tcPr>
            <w:tcW w:type="dxa" w:w="2923"/>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left"/>
            </w:pPr>
            <w:r>
              <w:rPr>
                <w:rFonts w:ascii="Inter" w:cs="Inter" w:eastAsia="Inter" w:hAnsi="Inter"/>
                <w:b/>
                <w:bCs/>
                <w:color w:val="FFFFFF"/>
                <w:sz w:val="19"/>
                <w:szCs w:val="19"/>
              </w:rPr>
              <w:t xml:space="preserve">Share Group</w:t>
            </w:r>
          </w:p>
        </w:tc>
        <w:tc>
          <w:tcPr>
            <w:tcW w:type="dxa" w:w="2505"/>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center"/>
            </w:pPr>
            <w:r>
              <w:rPr>
                <w:rFonts w:ascii="Inter" w:cs="Inter" w:eastAsia="Inter" w:hAnsi="Inter"/>
                <w:b/>
                <w:bCs/>
                <w:color w:val="FFFFFF"/>
                <w:sz w:val="19"/>
                <w:szCs w:val="19"/>
              </w:rPr>
              <w:t xml:space="preserve">Value / Share (RWF)</w:t>
            </w:r>
          </w:p>
        </w:tc>
        <w:tc>
          <w:tcPr>
            <w:tcW w:type="dxa" w:w="2505"/>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center"/>
            </w:pPr>
            <w:r>
              <w:rPr>
                <w:rFonts w:ascii="Inter" w:cs="Inter" w:eastAsia="Inter" w:hAnsi="Inter"/>
                <w:b/>
                <w:bCs/>
                <w:color w:val="FFFFFF"/>
                <w:sz w:val="19"/>
                <w:szCs w:val="19"/>
              </w:rPr>
              <w:t xml:space="preserve">Shares Issued</w:t>
            </w:r>
          </w:p>
        </w:tc>
        <w:tc>
          <w:tcPr>
            <w:tcW w:type="dxa" w:w="2505"/>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center"/>
            </w:pPr>
            <w:r>
              <w:rPr>
                <w:rFonts w:ascii="Inter" w:cs="Inter" w:eastAsia="Inter" w:hAnsi="Inter"/>
                <w:b/>
                <w:bCs/>
                <w:color w:val="FFFFFF"/>
                <w:sz w:val="19"/>
                <w:szCs w:val="19"/>
              </w:rPr>
              <w:t xml:space="preserve">Share Capital (RWF)</w:t>
            </w:r>
          </w:p>
        </w:tc>
      </w:tr>
      <w:tr>
        <w:tc>
          <w:tcPr>
            <w:tcW w:type="dxa" w:w="292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9"/>
                <w:szCs w:val="19"/>
              </w:rPr>
              <w:t xml:space="preserve">Ordinary Share</w:t>
            </w:r>
          </w:p>
        </w:tc>
        <w:tc>
          <w:tcPr>
            <w:tcW w:type="dxa" w:w="2505"/>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center"/>
            </w:pPr>
            <w:r>
              <w:rPr>
                <w:rFonts w:ascii="Inter" w:cs="Inter" w:eastAsia="Inter" w:hAnsi="Inter"/>
                <w:b w:val="false"/>
                <w:bCs w:val="false"/>
                <w:color w:val="0B0F1A"/>
                <w:sz w:val="19"/>
                <w:szCs w:val="19"/>
              </w:rPr>
              <w:t xml:space="preserve">50,000</w:t>
            </w:r>
          </w:p>
        </w:tc>
        <w:tc>
          <w:tcPr>
            <w:tcW w:type="dxa" w:w="2505"/>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center"/>
            </w:pPr>
            <w:r>
              <w:rPr>
                <w:rFonts w:ascii="Inter" w:cs="Inter" w:eastAsia="Inter" w:hAnsi="Inter"/>
                <w:b w:val="false"/>
                <w:bCs w:val="false"/>
                <w:color w:val="0B0F1A"/>
                <w:sz w:val="19"/>
                <w:szCs w:val="19"/>
              </w:rPr>
              <w:t xml:space="preserve">100</w:t>
            </w:r>
          </w:p>
        </w:tc>
        <w:tc>
          <w:tcPr>
            <w:tcW w:type="dxa" w:w="2505"/>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center"/>
            </w:pPr>
            <w:r>
              <w:rPr>
                <w:rFonts w:ascii="Inter" w:cs="Inter" w:eastAsia="Inter" w:hAnsi="Inter"/>
                <w:b/>
                <w:bCs/>
                <w:color w:val="0B0F1A"/>
                <w:sz w:val="19"/>
                <w:szCs w:val="19"/>
              </w:rPr>
              <w:t xml:space="preserve">5,000,000</w:t>
            </w:r>
          </w:p>
        </w:tc>
      </w:tr>
    </w:tbl>
    <w:p>
      <w:pPr>
        <w:spacing w:after="140"/>
      </w:pPr>
      <w:r>
        <w:rPr>
          <w:color w:val="26282E"/>
          <w:sz w:val="20"/>
          <w:szCs w:val="20"/>
        </w:rPr>
        <w:t xml:space="preserve">Total unissued shares: 0. The company is fully subscribed by its founding shareholder at incorporation — a clean base for a future co-founder, employee equity pool, or investor round without needing to unwind an existing cap table.</w:t>
      </w:r>
    </w:p>
    <w:p>
      <w:pPr>
        <w:spacing w:after="60" w:before="200"/>
      </w:pPr>
      <w:r>
        <w:rPr>
          <w:b/>
          <w:bCs/>
          <w:color w:val="5B6BFA"/>
          <w:sz w:val="20"/>
          <w:szCs w:val="20"/>
        </w:rPr>
        <w:t xml:space="preserve">— </w:t>
      </w:r>
      <w:r>
        <w:rPr>
          <w:b/>
          <w:bCs/>
          <w:color w:val="5B6BFA"/>
          <w:spacing w:val="20"/>
          <w:sz w:val="20"/>
          <w:szCs w:val="20"/>
        </w:rPr>
        <w:t xml:space="preserve">SECTION 02</w:t>
      </w:r>
    </w:p>
    <w:p>
      <w:pPr>
        <w:pStyle w:val="Heading1"/>
        <w:pBdr>
          <w:bottom w:val="single" w:color="0B0F1A" w:sz="12" w:space="6"/>
        </w:pBdr>
        <w:spacing w:after="160" w:before="400"/>
      </w:pPr>
      <w:r>
        <w:rPr>
          <w:rFonts w:ascii="Georgia" w:cs="Georgia" w:eastAsia="Georgia" w:hAnsi="Georgia"/>
          <w:b/>
          <w:bCs/>
          <w:color w:val="0B0F1A"/>
          <w:sz w:val="32"/>
          <w:szCs w:val="32"/>
        </w:rPr>
        <w:t xml:space="preserve">Strategic Business Activity Portfolio</w:t>
      </w:r>
    </w:p>
    <w:p>
      <w:pPr>
        <w:spacing w:after="140"/>
      </w:pPr>
      <w:r>
        <w:rPr>
          <w:color w:val="26282E"/>
          <w:sz w:val="20"/>
          <w:szCs w:val="20"/>
        </w:rPr>
        <w:t xml:space="preserve">Z-GATE LTD is registered under 21 business-activity codes (1 main + 20 other), which is typical of an RDB One Stop Centre registration covering present and possible future activity. A strategy project's first job is to sort these into what the company should actually run on, what to hold in reserve, and what no longer serves the brand. The table below maps every registered code to the Z-GATE division it belongs to and recommends a strategic status.</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gridCol w:w="100"/>
      </w:tblGrid>
      <w:tr>
        <w:tc>
          <w:tcPr>
            <w:tcW w:type="dxa" w:w="1252"/>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left"/>
            </w:pPr>
            <w:r>
              <w:rPr>
                <w:rFonts w:ascii="Inter" w:cs="Inter" w:eastAsia="Inter" w:hAnsi="Inter"/>
                <w:b/>
                <w:bCs/>
                <w:color w:val="FFFFFF"/>
                <w:sz w:val="19"/>
                <w:szCs w:val="19"/>
              </w:rPr>
              <w:t xml:space="preserve">Code</w:t>
            </w:r>
          </w:p>
        </w:tc>
        <w:tc>
          <w:tcPr>
            <w:tcW w:type="dxa" w:w="4593"/>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left"/>
            </w:pPr>
            <w:r>
              <w:rPr>
                <w:rFonts w:ascii="Inter" w:cs="Inter" w:eastAsia="Inter" w:hAnsi="Inter"/>
                <w:b/>
                <w:bCs/>
                <w:color w:val="FFFFFF"/>
                <w:sz w:val="19"/>
                <w:szCs w:val="19"/>
              </w:rPr>
              <w:t xml:space="preserve">Registered Activity</w:t>
            </w:r>
          </w:p>
        </w:tc>
        <w:tc>
          <w:tcPr>
            <w:tcW w:type="dxa" w:w="1879"/>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center"/>
            </w:pPr>
            <w:r>
              <w:rPr>
                <w:rFonts w:ascii="Inter" w:cs="Inter" w:eastAsia="Inter" w:hAnsi="Inter"/>
                <w:b/>
                <w:bCs/>
                <w:color w:val="FFFFFF"/>
                <w:sz w:val="19"/>
                <w:szCs w:val="19"/>
              </w:rPr>
              <w:t xml:space="preserve">Division</w:t>
            </w:r>
          </w:p>
        </w:tc>
        <w:tc>
          <w:tcPr>
            <w:tcW w:type="dxa" w:w="2714"/>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center"/>
            </w:pPr>
            <w:r>
              <w:rPr>
                <w:rFonts w:ascii="Inter" w:cs="Inter" w:eastAsia="Inter" w:hAnsi="Inter"/>
                <w:b/>
                <w:bCs/>
                <w:color w:val="FFFFFF"/>
                <w:sz w:val="19"/>
                <w:szCs w:val="19"/>
              </w:rPr>
              <w:t xml:space="preserve">Status</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SM692005</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Advisory activities &amp; representation before tax authorities</w:t>
            </w:r>
          </w:p>
        </w:tc>
        <w:tc>
          <w:tcPr>
            <w:tcW w:type="dxa" w:w="1879"/>
            <w:tcBorders>
              <w:top w:val="single" w:color="D9D9D9" w:sz="4"/>
              <w:left w:val="single" w:color="D9D9D9" w:sz="4"/>
              <w:bottom w:val="single" w:color="D9D9D9" w:sz="4"/>
              <w:right w:val="single" w:color="D9D9D9" w:sz="4"/>
            </w:tcBorders>
            <w:shd w:fill="C9A15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Advisory</w:t>
            </w:r>
          </w:p>
        </w:tc>
        <w:tc>
          <w:tcPr>
            <w:tcW w:type="dxa" w:w="2714"/>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CORE — flagship</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SM692004</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Preparation of personal &amp; business income tax returns</w:t>
            </w:r>
          </w:p>
        </w:tc>
        <w:tc>
          <w:tcPr>
            <w:tcW w:type="dxa" w:w="1879"/>
            <w:tcBorders>
              <w:top w:val="single" w:color="D9D9D9" w:sz="4"/>
              <w:left w:val="single" w:color="D9D9D9" w:sz="4"/>
              <w:bottom w:val="single" w:color="D9D9D9" w:sz="4"/>
              <w:right w:val="single" w:color="D9D9D9" w:sz="4"/>
            </w:tcBorders>
            <w:shd w:fill="C9A15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Advisory</w:t>
            </w:r>
          </w:p>
        </w:tc>
        <w:tc>
          <w:tcPr>
            <w:tcW w:type="dxa" w:w="2714"/>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CORE</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SM692001</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Recording of commercial transactions (bookkeeping)</w:t>
            </w:r>
          </w:p>
        </w:tc>
        <w:tc>
          <w:tcPr>
            <w:tcW w:type="dxa" w:w="1879"/>
            <w:tcBorders>
              <w:top w:val="single" w:color="D9D9D9" w:sz="4"/>
              <w:left w:val="single" w:color="D9D9D9" w:sz="4"/>
              <w:bottom w:val="single" w:color="D9D9D9" w:sz="4"/>
              <w:right w:val="single" w:color="D9D9D9" w:sz="4"/>
            </w:tcBorders>
            <w:shd w:fill="C9A15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Advisory</w:t>
            </w:r>
          </w:p>
        </w:tc>
        <w:tc>
          <w:tcPr>
            <w:tcW w:type="dxa" w:w="2714"/>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CORE</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SM702001</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Business &amp; management advisory / operational assistance</w:t>
            </w:r>
          </w:p>
        </w:tc>
        <w:tc>
          <w:tcPr>
            <w:tcW w:type="dxa" w:w="1879"/>
            <w:tcBorders>
              <w:top w:val="single" w:color="D9D9D9" w:sz="4"/>
              <w:left w:val="single" w:color="D9D9D9" w:sz="4"/>
              <w:bottom w:val="single" w:color="D9D9D9" w:sz="4"/>
              <w:right w:val="single" w:color="D9D9D9" w:sz="4"/>
            </w:tcBorders>
            <w:shd w:fill="C9A15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Advisory</w:t>
            </w:r>
          </w:p>
        </w:tc>
        <w:tc>
          <w:tcPr>
            <w:tcW w:type="dxa" w:w="2714"/>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CORE</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SM749011</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Other technical consulting</w:t>
            </w:r>
          </w:p>
        </w:tc>
        <w:tc>
          <w:tcPr>
            <w:tcW w:type="dxa" w:w="1879"/>
            <w:tcBorders>
              <w:top w:val="single" w:color="D9D9D9" w:sz="4"/>
              <w:left w:val="single" w:color="D9D9D9" w:sz="4"/>
              <w:bottom w:val="single" w:color="D9D9D9" w:sz="4"/>
              <w:right w:val="single" w:color="D9D9D9" w:sz="4"/>
            </w:tcBorders>
            <w:shd w:fill="C9A15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Advisory</w:t>
            </w:r>
          </w:p>
        </w:tc>
        <w:tc>
          <w:tcPr>
            <w:tcW w:type="dxa" w:w="2714"/>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CORE</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SJ620101</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Software, systems, app &amp; web design and coding</w:t>
            </w:r>
          </w:p>
        </w:tc>
        <w:tc>
          <w:tcPr>
            <w:tcW w:type="dxa" w:w="1879"/>
            <w:tcBorders>
              <w:top w:val="single" w:color="D9D9D9" w:sz="4"/>
              <w:left w:val="single" w:color="D9D9D9" w:sz="4"/>
              <w:bottom w:val="single" w:color="D9D9D9" w:sz="4"/>
              <w:right w:val="single" w:color="D9D9D9" w:sz="4"/>
            </w:tcBorders>
            <w:shd w:fill="3F8CF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Tech</w:t>
            </w:r>
          </w:p>
        </w:tc>
        <w:tc>
          <w:tcPr>
            <w:tcW w:type="dxa" w:w="2714"/>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CORE — flagship</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SJ620202</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Onsite management of client computer systems &amp; data facilities</w:t>
            </w:r>
          </w:p>
        </w:tc>
        <w:tc>
          <w:tcPr>
            <w:tcW w:type="dxa" w:w="1879"/>
            <w:tcBorders>
              <w:top w:val="single" w:color="D9D9D9" w:sz="4"/>
              <w:left w:val="single" w:color="D9D9D9" w:sz="4"/>
              <w:bottom w:val="single" w:color="D9D9D9" w:sz="4"/>
              <w:right w:val="single" w:color="D9D9D9" w:sz="4"/>
            </w:tcBorders>
            <w:shd w:fill="3F8CF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Tech</w:t>
            </w:r>
          </w:p>
        </w:tc>
        <w:tc>
          <w:tcPr>
            <w:tcW w:type="dxa" w:w="2714"/>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CORE</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SJ582001</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Publishing of readymade software (OS, apps, games)</w:t>
            </w:r>
          </w:p>
        </w:tc>
        <w:tc>
          <w:tcPr>
            <w:tcW w:type="dxa" w:w="1879"/>
            <w:tcBorders>
              <w:top w:val="single" w:color="D9D9D9" w:sz="4"/>
              <w:left w:val="single" w:color="D9D9D9" w:sz="4"/>
              <w:bottom w:val="single" w:color="D9D9D9" w:sz="4"/>
              <w:right w:val="single" w:color="D9D9D9" w:sz="4"/>
            </w:tcBorders>
            <w:shd w:fill="3F8CF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Tech</w:t>
            </w:r>
          </w:p>
        </w:tc>
        <w:tc>
          <w:tcPr>
            <w:tcW w:type="dxa" w:w="2714"/>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ADJACENT</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SJ631201</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Search-engine-driven web directory / database hosting</w:t>
            </w:r>
          </w:p>
        </w:tc>
        <w:tc>
          <w:tcPr>
            <w:tcW w:type="dxa" w:w="1879"/>
            <w:tcBorders>
              <w:top w:val="single" w:color="D9D9D9" w:sz="4"/>
              <w:left w:val="single" w:color="D9D9D9" w:sz="4"/>
              <w:bottom w:val="single" w:color="D9D9D9" w:sz="4"/>
              <w:right w:val="single" w:color="D9D9D9" w:sz="4"/>
            </w:tcBorders>
            <w:shd w:fill="3F8CF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Tech</w:t>
            </w:r>
          </w:p>
        </w:tc>
        <w:tc>
          <w:tcPr>
            <w:tcW w:type="dxa" w:w="2714"/>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ADJACENT</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SJ631101</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Infrastructure provision for hosting data processing</w:t>
            </w:r>
          </w:p>
        </w:tc>
        <w:tc>
          <w:tcPr>
            <w:tcW w:type="dxa" w:w="1879"/>
            <w:tcBorders>
              <w:top w:val="single" w:color="D9D9D9" w:sz="4"/>
              <w:left w:val="single" w:color="D9D9D9" w:sz="4"/>
              <w:bottom w:val="single" w:color="D9D9D9" w:sz="4"/>
              <w:right w:val="single" w:color="D9D9D9" w:sz="4"/>
            </w:tcBorders>
            <w:shd w:fill="6B7280"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Tech / Data</w:t>
            </w:r>
          </w:p>
        </w:tc>
        <w:tc>
          <w:tcPr>
            <w:tcW w:type="dxa" w:w="2714"/>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ADJACENT</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SJ631106</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Data entry services</w:t>
            </w:r>
          </w:p>
        </w:tc>
        <w:tc>
          <w:tcPr>
            <w:tcW w:type="dxa" w:w="1879"/>
            <w:tcBorders>
              <w:top w:val="single" w:color="D9D9D9" w:sz="4"/>
              <w:left w:val="single" w:color="D9D9D9" w:sz="4"/>
              <w:bottom w:val="single" w:color="D9D9D9" w:sz="4"/>
              <w:right w:val="single" w:color="D9D9D9" w:sz="4"/>
            </w:tcBorders>
            <w:shd w:fill="A85CF6"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Data</w:t>
            </w:r>
          </w:p>
        </w:tc>
        <w:tc>
          <w:tcPr>
            <w:tcW w:type="dxa" w:w="2714"/>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CORE</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SJ631105</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Data processing activities</w:t>
            </w:r>
          </w:p>
        </w:tc>
        <w:tc>
          <w:tcPr>
            <w:tcW w:type="dxa" w:w="1879"/>
            <w:tcBorders>
              <w:top w:val="single" w:color="D9D9D9" w:sz="4"/>
              <w:left w:val="single" w:color="D9D9D9" w:sz="4"/>
              <w:bottom w:val="single" w:color="D9D9D9" w:sz="4"/>
              <w:right w:val="single" w:color="D9D9D9" w:sz="4"/>
            </w:tcBorders>
            <w:shd w:fill="A85CF6"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Data</w:t>
            </w:r>
          </w:p>
        </w:tc>
        <w:tc>
          <w:tcPr>
            <w:tcW w:type="dxa" w:w="2714"/>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CORE — flagship</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SP854914</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Computer training</w:t>
            </w:r>
          </w:p>
        </w:tc>
        <w:tc>
          <w:tcPr>
            <w:tcW w:type="dxa" w:w="1879"/>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Academy</w:t>
            </w:r>
          </w:p>
        </w:tc>
        <w:tc>
          <w:tcPr>
            <w:tcW w:type="dxa" w:w="2714"/>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CORE — flagship</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SP852205</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Computer repair training</w:t>
            </w:r>
          </w:p>
        </w:tc>
        <w:tc>
          <w:tcPr>
            <w:tcW w:type="dxa" w:w="1879"/>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Academy</w:t>
            </w:r>
          </w:p>
        </w:tc>
        <w:tc>
          <w:tcPr>
            <w:tcW w:type="dxa" w:w="2714"/>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ADJACENT</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SN783001</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Provision of human resources for client businesses</w:t>
            </w:r>
          </w:p>
        </w:tc>
        <w:tc>
          <w:tcPr>
            <w:tcW w:type="dxa" w:w="1879"/>
            <w:tcBorders>
              <w:top w:val="single" w:color="D9D9D9" w:sz="4"/>
              <w:left w:val="single" w:color="D9D9D9" w:sz="4"/>
              <w:bottom w:val="single" w:color="D9D9D9" w:sz="4"/>
              <w:right w:val="single" w:color="D9D9D9" w:sz="4"/>
            </w:tcBorders>
            <w:shd w:fill="6B7280"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New line</w:t>
            </w:r>
          </w:p>
        </w:tc>
        <w:tc>
          <w:tcPr>
            <w:tcW w:type="dxa" w:w="2714"/>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ADJACENT</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SJ611002</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Purchase/resale of network capacity &amp; telecom services</w:t>
            </w:r>
          </w:p>
        </w:tc>
        <w:tc>
          <w:tcPr>
            <w:tcW w:type="dxa" w:w="1879"/>
            <w:tcBorders>
              <w:top w:val="single" w:color="D9D9D9" w:sz="4"/>
              <w:left w:val="single" w:color="D9D9D9" w:sz="4"/>
              <w:bottom w:val="single" w:color="D9D9D9" w:sz="4"/>
              <w:right w:val="single" w:color="D9D9D9" w:sz="4"/>
            </w:tcBorders>
            <w:shd w:fill="3F8CF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Tech</w:t>
            </w:r>
          </w:p>
        </w:tc>
        <w:tc>
          <w:tcPr>
            <w:tcW w:type="dxa" w:w="2714"/>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RESERVE</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SM742003</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Activities of photojournalists</w:t>
            </w:r>
          </w:p>
        </w:tc>
        <w:tc>
          <w:tcPr>
            <w:tcW w:type="dxa" w:w="1879"/>
            <w:tcBorders>
              <w:top w:val="single" w:color="D9D9D9" w:sz="4"/>
              <w:left w:val="single" w:color="D9D9D9" w:sz="4"/>
              <w:bottom w:val="single" w:color="D9D9D9" w:sz="4"/>
              <w:right w:val="single" w:color="D9D9D9" w:sz="4"/>
            </w:tcBorders>
            <w:shd w:fill="6B7280"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Unrelated</w:t>
            </w:r>
          </w:p>
        </w:tc>
        <w:tc>
          <w:tcPr>
            <w:tcW w:type="dxa" w:w="2714"/>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REVIEW</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SM712001</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Physical / chemical / analytical testing of materials</w:t>
            </w:r>
          </w:p>
        </w:tc>
        <w:tc>
          <w:tcPr>
            <w:tcW w:type="dxa" w:w="1879"/>
            <w:tcBorders>
              <w:top w:val="single" w:color="D9D9D9" w:sz="4"/>
              <w:left w:val="single" w:color="D9D9D9" w:sz="4"/>
              <w:bottom w:val="single" w:color="D9D9D9" w:sz="4"/>
              <w:right w:val="single" w:color="D9D9D9" w:sz="4"/>
            </w:tcBorders>
            <w:shd w:fill="6B7280"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Unrelated</w:t>
            </w:r>
          </w:p>
        </w:tc>
        <w:tc>
          <w:tcPr>
            <w:tcW w:type="dxa" w:w="2714"/>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REVIEW</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SM711001</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Architectural consulting (design, planning, landscape)</w:t>
            </w:r>
          </w:p>
        </w:tc>
        <w:tc>
          <w:tcPr>
            <w:tcW w:type="dxa" w:w="1879"/>
            <w:tcBorders>
              <w:top w:val="single" w:color="D9D9D9" w:sz="4"/>
              <w:left w:val="single" w:color="D9D9D9" w:sz="4"/>
              <w:bottom w:val="single" w:color="D9D9D9" w:sz="4"/>
              <w:right w:val="single" w:color="D9D9D9" w:sz="4"/>
            </w:tcBorders>
            <w:shd w:fill="6B7280"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Unrelated</w:t>
            </w:r>
          </w:p>
        </w:tc>
        <w:tc>
          <w:tcPr>
            <w:tcW w:type="dxa" w:w="2714"/>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REVIEW</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SJ581901</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Publishing of catalogs, photos, prints, advertising material</w:t>
            </w:r>
          </w:p>
        </w:tc>
        <w:tc>
          <w:tcPr>
            <w:tcW w:type="dxa" w:w="1879"/>
            <w:tcBorders>
              <w:top w:val="single" w:color="D9D9D9" w:sz="4"/>
              <w:left w:val="single" w:color="D9D9D9" w:sz="4"/>
              <w:bottom w:val="single" w:color="D9D9D9" w:sz="4"/>
              <w:right w:val="single" w:color="D9D9D9" w:sz="4"/>
            </w:tcBorders>
            <w:shd w:fill="6B7280"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Unrelated</w:t>
            </w:r>
          </w:p>
        </w:tc>
        <w:tc>
          <w:tcPr>
            <w:tcW w:type="dxa" w:w="2714"/>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REVIEW</w:t>
            </w:r>
          </w:p>
        </w:tc>
      </w:tr>
      <w:tr>
        <w:tc>
          <w:tcPr>
            <w:tcW w:type="dxa" w:w="125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Consolas" w:cs="Consolas" w:eastAsia="Consolas" w:hAnsi="Consolas"/>
                <w:b w:val="false"/>
                <w:bCs w:val="false"/>
                <w:color w:val="0B0F1A"/>
                <w:sz w:val="17"/>
                <w:szCs w:val="17"/>
              </w:rPr>
              <w:t xml:space="preserve">SQ862006</w:t>
            </w:r>
          </w:p>
        </w:tc>
        <w:tc>
          <w:tcPr>
            <w:tcW w:type="dxa" w:w="4593"/>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7"/>
                <w:szCs w:val="17"/>
              </w:rPr>
              <w:t xml:space="preserve">Private consultants' services to inpatients</w:t>
            </w:r>
          </w:p>
        </w:tc>
        <w:tc>
          <w:tcPr>
            <w:tcW w:type="dxa" w:w="1879"/>
            <w:tcBorders>
              <w:top w:val="single" w:color="D9D9D9" w:sz="4"/>
              <w:left w:val="single" w:color="D9D9D9" w:sz="4"/>
              <w:bottom w:val="single" w:color="D9D9D9" w:sz="4"/>
              <w:right w:val="single" w:color="D9D9D9" w:sz="4"/>
            </w:tcBorders>
            <w:shd w:fill="6B7280"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Unrelated</w:t>
            </w:r>
          </w:p>
        </w:tc>
        <w:tc>
          <w:tcPr>
            <w:tcW w:type="dxa" w:w="2714"/>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REVIEW</w:t>
            </w:r>
          </w:p>
        </w:tc>
      </w:tr>
    </w:tbl>
    <w:p>
      <w:pPr>
        <w:pStyle w:val="Heading2"/>
        <w:spacing w:after="120" w:before="260"/>
      </w:pPr>
      <w:r>
        <w:rPr>
          <w:rFonts w:ascii="Georgia" w:cs="Georgia" w:eastAsia="Georgia" w:hAnsi="Georgia"/>
          <w:b/>
          <w:bCs/>
          <w:color w:val="5B6BFA"/>
          <w:sz w:val="24"/>
          <w:szCs w:val="24"/>
        </w:rPr>
        <w:t xml:space="preserve">Reading the Portfolio</w:t>
      </w:r>
    </w:p>
    <w:p>
      <w:pPr>
        <w:pStyle w:val="ListParagraph"/>
        <w:numPr>
          <w:ilvl w:val="0"/>
          <w:numId w:val="1"/>
        </w:numPr>
        <w:spacing w:after="60"/>
      </w:pPr>
      <w:r>
        <w:rPr>
          <w:color w:val="26282E"/>
          <w:sz w:val="20"/>
          <w:szCs w:val="20"/>
        </w:rPr>
        <w:t xml:space="preserve">CORE (green) — 11 activities already align directly with the four Z-GATE divisions and should carry the brand, marketing spend, and delivery standards built in the identity guide.</w:t>
      </w:r>
    </w:p>
    <w:p>
      <w:pPr>
        <w:pStyle w:val="ListParagraph"/>
        <w:numPr>
          <w:ilvl w:val="0"/>
          <w:numId w:val="1"/>
        </w:numPr>
        <w:spacing w:after="60"/>
      </w:pPr>
      <w:r>
        <w:rPr>
          <w:color w:val="26282E"/>
          <w:sz w:val="20"/>
          <w:szCs w:val="20"/>
        </w:rPr>
        <w:t xml:space="preserve">ADJACENT (amber) — 5 activities are legitimate near-term growth lines (software publishing, hosting infrastructure, HR provision, computer repair training) worth a 6–12 month feasibility review before active investment.</w:t>
      </w:r>
    </w:p>
    <w:p>
      <w:pPr>
        <w:pStyle w:val="ListParagraph"/>
        <w:numPr>
          <w:ilvl w:val="0"/>
          <w:numId w:val="1"/>
        </w:numPr>
        <w:spacing w:after="60"/>
      </w:pPr>
      <w:r>
        <w:rPr>
          <w:color w:val="26282E"/>
          <w:sz w:val="20"/>
          <w:szCs w:val="20"/>
        </w:rPr>
        <w:t xml:space="preserve">REVIEW (red) — 5 activities (photojournalism, materials testing, architectural consulting, print publishing, inpatient consulting services) fall well outside the Advisory / Academy / Tech / Data model. Recommend confirming with legal counsel whether these were selected in error during One Stop Centre registration; if not needed, they can be removed via an RDB company-details update to keep the public registration record aligned with the brand.</w:t>
      </w:r>
    </w:p>
    <w:p>
      <w:pPr>
        <w:pStyle w:val="ListParagraph"/>
        <w:numPr>
          <w:ilvl w:val="0"/>
          <w:numId w:val="1"/>
        </w:numPr>
        <w:spacing w:after="60"/>
      </w:pPr>
      <w:r>
        <w:rPr>
          <w:color w:val="26282E"/>
          <w:sz w:val="20"/>
          <w:szCs w:val="20"/>
        </w:rPr>
        <w:t xml:space="preserve">N/A — Provision of human resources for client businesses (SN783001) doesn't fit an existing division. It's a natural fifth line — 'Z-GATE People' — if the company wants to pursue staffing/outsourcing; otherwise recommend holding it in reserve.</w:t>
      </w:r>
    </w:p>
    <w:p>
      <w:r>
        <w:br w:type="page"/>
      </w:r>
    </w:p>
    <w:p>
      <w:pPr>
        <w:spacing w:after="60" w:before="200"/>
      </w:pPr>
      <w:r>
        <w:rPr>
          <w:b/>
          <w:bCs/>
          <w:color w:val="5B6BFA"/>
          <w:sz w:val="20"/>
          <w:szCs w:val="20"/>
        </w:rPr>
        <w:t xml:space="preserve">— </w:t>
      </w:r>
      <w:r>
        <w:rPr>
          <w:b/>
          <w:bCs/>
          <w:color w:val="5B6BFA"/>
          <w:spacing w:val="20"/>
          <w:sz w:val="20"/>
          <w:szCs w:val="20"/>
        </w:rPr>
        <w:t xml:space="preserve">SECTION 03</w:t>
      </w:r>
    </w:p>
    <w:p>
      <w:pPr>
        <w:pStyle w:val="Heading1"/>
        <w:pBdr>
          <w:bottom w:val="single" w:color="0B0F1A" w:sz="12" w:space="6"/>
        </w:pBdr>
        <w:spacing w:after="160" w:before="400"/>
      </w:pPr>
      <w:r>
        <w:rPr>
          <w:rFonts w:ascii="Georgia" w:cs="Georgia" w:eastAsia="Georgia" w:hAnsi="Georgia"/>
          <w:b/>
          <w:bCs/>
          <w:color w:val="0B0F1A"/>
          <w:sz w:val="32"/>
          <w:szCs w:val="32"/>
        </w:rPr>
        <w:t xml:space="preserve">Four-Division Operating Model</w:t>
      </w:r>
    </w:p>
    <w:p>
      <w:pPr>
        <w:spacing w:after="140"/>
      </w:pPr>
      <w:r>
        <w:rPr>
          <w:color w:val="26282E"/>
          <w:sz w:val="20"/>
          <w:szCs w:val="20"/>
        </w:rPr>
        <w:t xml:space="preserve">The eleven CORE activities resolve cleanly into the four-division model already established in the Z-GATE brand identity. This is the operating structure the business plan, marketing plan, and hiring plan should be built around.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tcBorders>
              <w:top w:val="single" w:color="D9D9D9" w:sz="4"/>
              <w:left w:val="single" w:color="D9D9D9" w:sz="4"/>
              <w:bottom w:val="single" w:color="D9D9D9" w:sz="4"/>
              <w:right w:val="single" w:color="D9D9D9" w:sz="4"/>
            </w:tcBorders>
            <w:shd w:fill="C9A15A" w:color="auto" w:val="clear"/>
            <w:tcMar>
              <w:top w:type="dxa" w:w="90"/>
              <w:left w:type="dxa" w:w="130"/>
              <w:bottom w:type="dxa" w:w="90"/>
              <w:right w:type="dxa" w:w="130"/>
            </w:tcMar>
            <w:vAlign w:val="center"/>
          </w:tcPr>
          <w:p>
            <w:pPr>
              <w:jc w:val="left"/>
            </w:pPr>
            <w:r>
              <w:rPr>
                <w:rFonts w:ascii="Inter" w:cs="Inter" w:eastAsia="Inter" w:hAnsi="Inter"/>
                <w:b/>
                <w:bCs/>
                <w:color w:val="FFFFFF"/>
                <w:sz w:val="22"/>
                <w:szCs w:val="22"/>
              </w:rPr>
              <w:t xml:space="preserve">Z-GATE ADVISORY</w:t>
            </w:r>
          </w:p>
        </w:tc>
      </w:tr>
    </w:tbl>
    <w:p>
      <w:pPr>
        <w:spacing w:after="60" w:before="100"/>
      </w:pPr>
      <w:r>
        <w:rPr>
          <w:i/>
          <w:iCs/>
          <w:color w:val="44464E"/>
          <w:sz w:val="19"/>
          <w:szCs w:val="19"/>
        </w:rPr>
        <w:t xml:space="preserve">Tax &amp; Business Consulting</w:t>
      </w:r>
    </w:p>
    <w:p>
      <w:pPr>
        <w:spacing w:after="140"/>
      </w:pPr>
      <w:r>
        <w:rPr>
          <w:color w:val="6B7280"/>
          <w:sz w:val="18"/>
          <w:szCs w:val="18"/>
        </w:rPr>
        <w:t xml:space="preserve">Registered codes in production: SM692005, SM692004, SM692001, SM702001, SM749011</w:t>
      </w:r>
    </w:p>
    <w:p>
      <w:pPr>
        <w:spacing w:after="140"/>
      </w:pPr>
      <w:r>
        <w:rPr>
          <w:color w:val="26282E"/>
          <w:sz w:val="20"/>
          <w:szCs w:val="20"/>
        </w:rPr>
        <w:t xml:space="preserve">Advisory is the anchor division and the company's registered main business activity. It should be first to launch, first to bill, and the reference point for how every other division is expected to perform: precise, licensed, and directly accountable to a tax authority deadline.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left"/>
            </w:pPr>
            <w:r>
              <w:rPr>
                <w:rFonts w:ascii="Inter" w:cs="Inter" w:eastAsia="Inter" w:hAnsi="Inter"/>
                <w:b/>
                <w:bCs/>
                <w:color w:val="FFFFFF"/>
                <w:sz w:val="22"/>
                <w:szCs w:val="22"/>
              </w:rPr>
              <w:t xml:space="preserve">Z-GATE ACADEMY</w:t>
            </w:r>
          </w:p>
        </w:tc>
      </w:tr>
    </w:tbl>
    <w:p>
      <w:pPr>
        <w:spacing w:after="60" w:before="100"/>
      </w:pPr>
      <w:r>
        <w:rPr>
          <w:i/>
          <w:iCs/>
          <w:color w:val="44464E"/>
          <w:sz w:val="19"/>
          <w:szCs w:val="19"/>
        </w:rPr>
        <w:t xml:space="preserve">Professional Training</w:t>
      </w:r>
    </w:p>
    <w:p>
      <w:pPr>
        <w:spacing w:after="140"/>
      </w:pPr>
      <w:r>
        <w:rPr>
          <w:color w:val="6B7280"/>
          <w:sz w:val="18"/>
          <w:szCs w:val="18"/>
        </w:rPr>
        <w:t xml:space="preserve">Registered codes in production: SP854914, SP852205</w:t>
      </w:r>
    </w:p>
    <w:p>
      <w:pPr>
        <w:spacing w:after="140"/>
      </w:pPr>
      <w:r>
        <w:rPr>
          <w:color w:val="26282E"/>
          <w:sz w:val="20"/>
          <w:szCs w:val="20"/>
        </w:rPr>
        <w:t xml:space="preserve">Academy currently covers computer training and computer repair training. Near-term opportunity: package Advisory's own tax and bookkeeping expertise into a short course — the division can be seeded with content the company already owns.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tcBorders>
              <w:top w:val="single" w:color="D9D9D9" w:sz="4"/>
              <w:left w:val="single" w:color="D9D9D9" w:sz="4"/>
              <w:bottom w:val="single" w:color="D9D9D9" w:sz="4"/>
              <w:right w:val="single" w:color="D9D9D9" w:sz="4"/>
            </w:tcBorders>
            <w:shd w:fill="3F8CFA" w:color="auto" w:val="clear"/>
            <w:tcMar>
              <w:top w:type="dxa" w:w="90"/>
              <w:left w:type="dxa" w:w="130"/>
              <w:bottom w:type="dxa" w:w="90"/>
              <w:right w:type="dxa" w:w="130"/>
            </w:tcMar>
            <w:vAlign w:val="center"/>
          </w:tcPr>
          <w:p>
            <w:pPr>
              <w:jc w:val="left"/>
            </w:pPr>
            <w:r>
              <w:rPr>
                <w:rFonts w:ascii="Inter" w:cs="Inter" w:eastAsia="Inter" w:hAnsi="Inter"/>
                <w:b/>
                <w:bCs/>
                <w:color w:val="FFFFFF"/>
                <w:sz w:val="22"/>
                <w:szCs w:val="22"/>
              </w:rPr>
              <w:t xml:space="preserve">Z-GATE TECH</w:t>
            </w:r>
          </w:p>
        </w:tc>
      </w:tr>
    </w:tbl>
    <w:p>
      <w:pPr>
        <w:spacing w:after="60" w:before="100"/>
      </w:pPr>
      <w:r>
        <w:rPr>
          <w:i/>
          <w:iCs/>
          <w:color w:val="44464E"/>
          <w:sz w:val="19"/>
          <w:szCs w:val="19"/>
        </w:rPr>
        <w:t xml:space="preserve">Technology Solutions</w:t>
      </w:r>
    </w:p>
    <w:p>
      <w:pPr>
        <w:spacing w:after="140"/>
      </w:pPr>
      <w:r>
        <w:rPr>
          <w:color w:val="6B7280"/>
          <w:sz w:val="18"/>
          <w:szCs w:val="18"/>
        </w:rPr>
        <w:t xml:space="preserve">Registered codes in production: SJ620101, SJ620202, SJ582001, SJ631201, SJ631101</w:t>
      </w:r>
    </w:p>
    <w:p>
      <w:pPr>
        <w:spacing w:after="140"/>
      </w:pPr>
      <w:r>
        <w:rPr>
          <w:color w:val="26282E"/>
          <w:sz w:val="20"/>
          <w:szCs w:val="20"/>
        </w:rPr>
        <w:t xml:space="preserve">Tech covers software/web development and onsite systems management, with software publishing and hosting infrastructure as adjacent extensions. Recommend Tech's first roadmap be internal: build Advisory's own client portal and Data's own reporting pipeline before selling externally — a working reference case sells faster than a slide deck.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440"/>
            <w:tcBorders>
              <w:top w:val="single" w:color="D9D9D9" w:sz="4"/>
              <w:left w:val="single" w:color="D9D9D9" w:sz="4"/>
              <w:bottom w:val="single" w:color="D9D9D9" w:sz="4"/>
              <w:right w:val="single" w:color="D9D9D9" w:sz="4"/>
            </w:tcBorders>
            <w:shd w:fill="A85CF6" w:color="auto" w:val="clear"/>
            <w:tcMar>
              <w:top w:type="dxa" w:w="90"/>
              <w:left w:type="dxa" w:w="130"/>
              <w:bottom w:type="dxa" w:w="90"/>
              <w:right w:type="dxa" w:w="130"/>
            </w:tcMar>
            <w:vAlign w:val="center"/>
          </w:tcPr>
          <w:p>
            <w:pPr>
              <w:jc w:val="left"/>
            </w:pPr>
            <w:r>
              <w:rPr>
                <w:rFonts w:ascii="Inter" w:cs="Inter" w:eastAsia="Inter" w:hAnsi="Inter"/>
                <w:b/>
                <w:bCs/>
                <w:color w:val="FFFFFF"/>
                <w:sz w:val="22"/>
                <w:szCs w:val="22"/>
              </w:rPr>
              <w:t xml:space="preserve">Z-GATE DATA</w:t>
            </w:r>
          </w:p>
        </w:tc>
      </w:tr>
    </w:tbl>
    <w:p>
      <w:pPr>
        <w:spacing w:after="60" w:before="100"/>
      </w:pPr>
      <w:r>
        <w:rPr>
          <w:i/>
          <w:iCs/>
          <w:color w:val="44464E"/>
          <w:sz w:val="19"/>
          <w:szCs w:val="19"/>
        </w:rPr>
        <w:t xml:space="preserve">Data Analytics &amp; Business Intelligence</w:t>
      </w:r>
    </w:p>
    <w:p>
      <w:pPr>
        <w:spacing w:after="140"/>
      </w:pPr>
      <w:r>
        <w:rPr>
          <w:color w:val="6B7280"/>
          <w:sz w:val="18"/>
          <w:szCs w:val="18"/>
        </w:rPr>
        <w:t xml:space="preserve">Registered codes in production: SJ631106, SJ631105</w:t>
      </w:r>
    </w:p>
    <w:p>
      <w:pPr>
        <w:spacing w:after="140"/>
      </w:pPr>
      <w:r>
        <w:rPr>
          <w:color w:val="26282E"/>
          <w:sz w:val="20"/>
          <w:szCs w:val="20"/>
        </w:rPr>
        <w:t xml:space="preserve">Data covers data entry and data processing today. Its highest-value near-term move is to formalize an analytics/BI layer on top of raw processing — most of the analytical tooling can be built by Z-GATE Tech, making Data the first proof that the four divisions compound each other.</w:t>
      </w:r>
    </w:p>
    <w:p>
      <w:r>
        <w:br w:type="page"/>
      </w:r>
    </w:p>
    <w:p>
      <w:pPr>
        <w:spacing w:after="60" w:before="200"/>
      </w:pPr>
      <w:r>
        <w:rPr>
          <w:b/>
          <w:bCs/>
          <w:color w:val="5B6BFA"/>
          <w:sz w:val="20"/>
          <w:szCs w:val="20"/>
        </w:rPr>
        <w:t xml:space="preserve">— </w:t>
      </w:r>
      <w:r>
        <w:rPr>
          <w:b/>
          <w:bCs/>
          <w:color w:val="5B6BFA"/>
          <w:spacing w:val="20"/>
          <w:sz w:val="20"/>
          <w:szCs w:val="20"/>
        </w:rPr>
        <w:t xml:space="preserve">SECTION 04</w:t>
      </w:r>
    </w:p>
    <w:p>
      <w:pPr>
        <w:pStyle w:val="Heading1"/>
        <w:pBdr>
          <w:bottom w:val="single" w:color="0B0F1A" w:sz="12" w:space="6"/>
        </w:pBdr>
        <w:spacing w:after="160" w:before="400"/>
      </w:pPr>
      <w:r>
        <w:rPr>
          <w:rFonts w:ascii="Georgia" w:cs="Georgia" w:eastAsia="Georgia" w:hAnsi="Georgia"/>
          <w:b/>
          <w:bCs/>
          <w:color w:val="0B0F1A"/>
          <w:sz w:val="32"/>
          <w:szCs w:val="32"/>
        </w:rPr>
        <w:t xml:space="preserve">SWOT Analysis</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Pr>
      <w:tblGrid>
        <w:gridCol w:w="100"/>
        <w:gridCol w:w="100"/>
      </w:tblGrid>
      <w:tr>
        <w:tc>
          <w:tcPr>
            <w:tcW w:type="dxa" w:w="5220"/>
            <w:tcBorders>
              <w:top w:val="single" w:color="C9CCD6" w:sz="4"/>
              <w:left w:val="single" w:color="C9CCD6" w:sz="4"/>
              <w:bottom w:val="single" w:color="C9CCD6" w:sz="4"/>
              <w:right w:val="single" w:color="C9CCD6" w:sz="4"/>
            </w:tcBorders>
            <w:shd w:fill="FAFAFB" w:color="auto" w:val="clear"/>
            <w:tcMar>
              <w:top w:type="dxa" w:w="160"/>
              <w:left w:type="dxa" w:w="180"/>
              <w:bottom w:type="dxa" w:w="160"/>
              <w:right w:type="dxa" w:w="180"/>
            </w:tcMar>
          </w:tcPr>
          <w:p>
            <w:pPr>
              <w:spacing w:after="100"/>
            </w:pPr>
            <w:r>
              <w:rPr>
                <w:b/>
                <w:bCs/>
                <w:color w:val="3FAE7A"/>
                <w:sz w:val="20"/>
                <w:szCs w:val="20"/>
              </w:rPr>
              <w:t xml:space="preserve">STRENGTHS</w:t>
            </w:r>
          </w:p>
          <w:p>
            <w:pPr>
              <w:pStyle w:val="ListParagraph"/>
              <w:numPr>
                <w:ilvl w:val="0"/>
                <w:numId w:val="1"/>
              </w:numPr>
              <w:spacing w:after="60"/>
            </w:pPr>
            <w:r>
              <w:rPr>
                <w:color w:val="26282E"/>
                <w:sz w:val="18"/>
                <w:szCs w:val="18"/>
              </w:rPr>
              <w:t xml:space="preserve">Licensed tax-representation activity already registered — legal foundation for Advisory is in place from day one.</w:t>
            </w:r>
          </w:p>
          <w:p>
            <w:pPr>
              <w:pStyle w:val="ListParagraph"/>
              <w:numPr>
                <w:ilvl w:val="0"/>
                <w:numId w:val="1"/>
              </w:numPr>
              <w:spacing w:after="60"/>
            </w:pPr>
            <w:r>
              <w:rPr>
                <w:color w:val="26282E"/>
                <w:sz w:val="18"/>
                <w:szCs w:val="18"/>
              </w:rPr>
              <w:t xml:space="preserve">Four divisions are complementary, not competing — each can be a paying reference client for the others.</w:t>
            </w:r>
          </w:p>
          <w:p>
            <w:pPr>
              <w:pStyle w:val="ListParagraph"/>
              <w:numPr>
                <w:ilvl w:val="0"/>
                <w:numId w:val="1"/>
              </w:numPr>
              <w:spacing w:after="60"/>
            </w:pPr>
            <w:r>
              <w:rPr>
                <w:color w:val="26282E"/>
                <w:sz w:val="18"/>
                <w:szCs w:val="18"/>
              </w:rPr>
              <w:t xml:space="preserve">Clean cap table (100% founder-held, 0 unissued shares) gives flexibility for a future raise or equity hire.</w:t>
            </w:r>
          </w:p>
        </w:tc>
        <w:tc>
          <w:tcPr>
            <w:tcW w:type="dxa" w:w="5220"/>
            <w:tcBorders>
              <w:top w:val="single" w:color="C9CCD6" w:sz="4"/>
              <w:left w:val="single" w:color="C9CCD6" w:sz="4"/>
              <w:bottom w:val="single" w:color="C9CCD6" w:sz="4"/>
              <w:right w:val="single" w:color="C9CCD6" w:sz="4"/>
            </w:tcBorders>
            <w:shd w:fill="FAFAFB" w:color="auto" w:val="clear"/>
            <w:tcMar>
              <w:top w:type="dxa" w:w="160"/>
              <w:left w:type="dxa" w:w="180"/>
              <w:bottom w:type="dxa" w:w="160"/>
              <w:right w:type="dxa" w:w="180"/>
            </w:tcMar>
          </w:tcPr>
          <w:p>
            <w:pPr>
              <w:spacing w:after="100"/>
            </w:pPr>
            <w:r>
              <w:rPr>
                <w:b/>
                <w:bCs/>
                <w:color w:val="B8860B"/>
                <w:sz w:val="20"/>
                <w:szCs w:val="20"/>
              </w:rPr>
              <w:t xml:space="preserve">WEAKNESSES</w:t>
            </w:r>
          </w:p>
          <w:p>
            <w:pPr>
              <w:pStyle w:val="ListParagraph"/>
              <w:numPr>
                <w:ilvl w:val="0"/>
                <w:numId w:val="1"/>
              </w:numPr>
              <w:spacing w:after="60"/>
            </w:pPr>
            <w:r>
              <w:rPr>
                <w:color w:val="26282E"/>
                <w:sz w:val="18"/>
                <w:szCs w:val="18"/>
              </w:rPr>
              <w:t xml:space="preserve">No employees recorded on registration date — every division currently depends on the same founder.</w:t>
            </w:r>
          </w:p>
          <w:p>
            <w:pPr>
              <w:pStyle w:val="ListParagraph"/>
              <w:numPr>
                <w:ilvl w:val="0"/>
                <w:numId w:val="1"/>
              </w:numPr>
              <w:spacing w:after="60"/>
            </w:pPr>
            <w:r>
              <w:rPr>
                <w:color w:val="26282E"/>
                <w:sz w:val="18"/>
                <w:szCs w:val="18"/>
              </w:rPr>
              <w:t xml:space="preserve">Registration spans 21 activity codes, which dilutes brand focus and market positioning if left unmanaged.</w:t>
            </w:r>
          </w:p>
          <w:p>
            <w:pPr>
              <w:pStyle w:val="ListParagraph"/>
              <w:numPr>
                <w:ilvl w:val="0"/>
                <w:numId w:val="1"/>
              </w:numPr>
              <w:spacing w:after="60"/>
            </w:pPr>
            <w:r>
              <w:rPr>
                <w:color w:val="26282E"/>
                <w:sz w:val="18"/>
                <w:szCs w:val="18"/>
              </w:rPr>
              <w:t xml:space="preserve">Academy and Data are the least developed divisions relative to Advisory and Tech.</w:t>
            </w:r>
          </w:p>
        </w:tc>
      </w:tr>
      <w:tr>
        <w:tc>
          <w:tcPr>
            <w:tcW w:type="dxa" w:w="5220"/>
            <w:tcBorders>
              <w:top w:val="single" w:color="C9CCD6" w:sz="4"/>
              <w:left w:val="single" w:color="C9CCD6" w:sz="4"/>
              <w:bottom w:val="single" w:color="C9CCD6" w:sz="4"/>
              <w:right w:val="single" w:color="C9CCD6" w:sz="4"/>
            </w:tcBorders>
            <w:shd w:fill="FAFAFB" w:color="auto" w:val="clear"/>
            <w:tcMar>
              <w:top w:type="dxa" w:w="160"/>
              <w:left w:type="dxa" w:w="180"/>
              <w:bottom w:type="dxa" w:w="160"/>
              <w:right w:type="dxa" w:w="180"/>
            </w:tcMar>
          </w:tcPr>
          <w:p>
            <w:pPr>
              <w:spacing w:after="100"/>
            </w:pPr>
            <w:r>
              <w:rPr>
                <w:b/>
                <w:bCs/>
                <w:color w:val="3F8CFA"/>
                <w:sz w:val="20"/>
                <w:szCs w:val="20"/>
              </w:rPr>
              <w:t xml:space="preserve">OPPORTUNITIES</w:t>
            </w:r>
          </w:p>
          <w:p>
            <w:pPr>
              <w:pStyle w:val="ListParagraph"/>
              <w:numPr>
                <w:ilvl w:val="0"/>
                <w:numId w:val="1"/>
              </w:numPr>
              <w:spacing w:after="60"/>
            </w:pPr>
            <w:r>
              <w:rPr>
                <w:color w:val="26282E"/>
                <w:sz w:val="18"/>
                <w:szCs w:val="18"/>
              </w:rPr>
              <w:t xml:space="preserve">Bundle four services one client already needs (compliance, training, systems, reporting) into a single retainer.</w:t>
            </w:r>
          </w:p>
          <w:p>
            <w:pPr>
              <w:pStyle w:val="ListParagraph"/>
              <w:numPr>
                <w:ilvl w:val="0"/>
                <w:numId w:val="1"/>
              </w:numPr>
              <w:spacing w:after="60"/>
            </w:pPr>
            <w:r>
              <w:rPr>
                <w:color w:val="26282E"/>
                <w:sz w:val="18"/>
                <w:szCs w:val="18"/>
              </w:rPr>
              <w:t xml:space="preserve">Rwanda's mandatory EBM invoicing and VAT thresholds create a recurring compliance-tooling need Tech + Advisory can jointly own.</w:t>
            </w:r>
          </w:p>
          <w:p>
            <w:pPr>
              <w:pStyle w:val="ListParagraph"/>
              <w:numPr>
                <w:ilvl w:val="0"/>
                <w:numId w:val="1"/>
              </w:numPr>
              <w:spacing w:after="60"/>
            </w:pPr>
            <w:r>
              <w:rPr>
                <w:color w:val="26282E"/>
                <w:sz w:val="18"/>
                <w:szCs w:val="18"/>
              </w:rPr>
              <w:t xml:space="preserve">Academy courses built from Advisory's own expertise are near-zero-cost to produce.</w:t>
            </w:r>
          </w:p>
        </w:tc>
        <w:tc>
          <w:tcPr>
            <w:tcW w:type="dxa" w:w="5220"/>
            <w:tcBorders>
              <w:top w:val="single" w:color="C9CCD6" w:sz="4"/>
              <w:left w:val="single" w:color="C9CCD6" w:sz="4"/>
              <w:bottom w:val="single" w:color="C9CCD6" w:sz="4"/>
              <w:right w:val="single" w:color="C9CCD6" w:sz="4"/>
            </w:tcBorders>
            <w:shd w:fill="FAFAFB" w:color="auto" w:val="clear"/>
            <w:tcMar>
              <w:top w:type="dxa" w:w="160"/>
              <w:left w:type="dxa" w:w="180"/>
              <w:bottom w:type="dxa" w:w="160"/>
              <w:right w:type="dxa" w:w="180"/>
            </w:tcMar>
          </w:tcPr>
          <w:p>
            <w:pPr>
              <w:spacing w:after="100"/>
            </w:pPr>
            <w:r>
              <w:rPr>
                <w:b/>
                <w:bCs/>
                <w:color w:val="C0392B"/>
                <w:sz w:val="20"/>
                <w:szCs w:val="20"/>
              </w:rPr>
              <w:t xml:space="preserve">THREATS</w:t>
            </w:r>
          </w:p>
          <w:p>
            <w:pPr>
              <w:pStyle w:val="ListParagraph"/>
              <w:numPr>
                <w:ilvl w:val="0"/>
                <w:numId w:val="1"/>
              </w:numPr>
              <w:spacing w:after="60"/>
            </w:pPr>
            <w:r>
              <w:rPr>
                <w:color w:val="26282E"/>
                <w:sz w:val="18"/>
                <w:szCs w:val="18"/>
              </w:rPr>
              <w:t xml:space="preserve">Five REVIEW-status activities (healthcare consulting, architecture, materials testing, etc.) create legal and reputational ambiguity if left registered without intent.</w:t>
            </w:r>
          </w:p>
          <w:p>
            <w:pPr>
              <w:pStyle w:val="ListParagraph"/>
              <w:numPr>
                <w:ilvl w:val="0"/>
                <w:numId w:val="1"/>
              </w:numPr>
              <w:spacing w:after="60"/>
            </w:pPr>
            <w:r>
              <w:rPr>
                <w:color w:val="26282E"/>
                <w:sz w:val="18"/>
                <w:szCs w:val="18"/>
              </w:rPr>
              <w:t xml:space="preserve">Single-founder dependency is a continuity risk for clients signing multi-year advisory contracts.</w:t>
            </w:r>
          </w:p>
          <w:p>
            <w:pPr>
              <w:pStyle w:val="ListParagraph"/>
              <w:numPr>
                <w:ilvl w:val="0"/>
                <w:numId w:val="1"/>
              </w:numPr>
              <w:spacing w:after="60"/>
            </w:pPr>
            <w:r>
              <w:rPr>
                <w:color w:val="26282E"/>
                <w:sz w:val="18"/>
                <w:szCs w:val="18"/>
              </w:rPr>
              <w:t xml:space="preserve">Standalone competitors exist in each of the four categories individually — differentiation depends on the bundle, not any one service.</w:t>
            </w:r>
          </w:p>
        </w:tc>
      </w:tr>
    </w:tbl>
    <w:p>
      <w:pPr>
        <w:spacing w:after="60" w:before="200"/>
      </w:pPr>
      <w:r>
        <w:rPr>
          <w:b/>
          <w:bCs/>
          <w:color w:val="5B6BFA"/>
          <w:sz w:val="20"/>
          <w:szCs w:val="20"/>
        </w:rPr>
        <w:t xml:space="preserve">— </w:t>
      </w:r>
      <w:r>
        <w:rPr>
          <w:b/>
          <w:bCs/>
          <w:color w:val="5B6BFA"/>
          <w:spacing w:val="20"/>
          <w:sz w:val="20"/>
          <w:szCs w:val="20"/>
        </w:rPr>
        <w:t xml:space="preserve">SECTION 05</w:t>
      </w:r>
    </w:p>
    <w:p>
      <w:pPr>
        <w:pStyle w:val="Heading1"/>
        <w:pBdr>
          <w:bottom w:val="single" w:color="0B0F1A" w:sz="12" w:space="6"/>
        </w:pBdr>
        <w:spacing w:after="160" w:before="400"/>
      </w:pPr>
      <w:r>
        <w:rPr>
          <w:rFonts w:ascii="Georgia" w:cs="Georgia" w:eastAsia="Georgia" w:hAnsi="Georgia"/>
          <w:b/>
          <w:bCs/>
          <w:color w:val="0B0F1A"/>
          <w:sz w:val="32"/>
          <w:szCs w:val="32"/>
        </w:rPr>
        <w:t xml:space="preserve">Cross-Departmental Development Plan</w:t>
      </w:r>
    </w:p>
    <w:p>
      <w:pPr>
        <w:spacing w:after="140"/>
      </w:pPr>
      <w:r>
        <w:rPr>
          <w:color w:val="26282E"/>
          <w:sz w:val="20"/>
          <w:szCs w:val="20"/>
        </w:rPr>
        <w:t xml:space="preserve">A well-developed business project is not one department's plan — it is six functions moving in the same 90-day window. Each row below is a workstream owner, its immediate objective, and the milestone that proves it's done.</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tblGrid>
      <w:tr>
        <w:tc>
          <w:tcPr>
            <w:tcW w:type="dxa" w:w="2296"/>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left"/>
            </w:pPr>
            <w:r>
              <w:rPr>
                <w:rFonts w:ascii="Inter" w:cs="Inter" w:eastAsia="Inter" w:hAnsi="Inter"/>
                <w:b/>
                <w:bCs/>
                <w:color w:val="FFFFFF"/>
                <w:sz w:val="19"/>
                <w:szCs w:val="19"/>
              </w:rPr>
              <w:t xml:space="preserve">Function</w:t>
            </w:r>
          </w:p>
        </w:tc>
        <w:tc>
          <w:tcPr>
            <w:tcW w:type="dxa" w:w="4802"/>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left"/>
            </w:pPr>
            <w:r>
              <w:rPr>
                <w:rFonts w:ascii="Inter" w:cs="Inter" w:eastAsia="Inter" w:hAnsi="Inter"/>
                <w:b/>
                <w:bCs/>
                <w:color w:val="FFFFFF"/>
                <w:sz w:val="19"/>
                <w:szCs w:val="19"/>
              </w:rPr>
              <w:t xml:space="preserve">Objective (First 90 Days)</w:t>
            </w:r>
          </w:p>
        </w:tc>
        <w:tc>
          <w:tcPr>
            <w:tcW w:type="dxa" w:w="3340"/>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left"/>
            </w:pPr>
            <w:r>
              <w:rPr>
                <w:rFonts w:ascii="Inter" w:cs="Inter" w:eastAsia="Inter" w:hAnsi="Inter"/>
                <w:b/>
                <w:bCs/>
                <w:color w:val="FFFFFF"/>
                <w:sz w:val="19"/>
                <w:szCs w:val="19"/>
              </w:rPr>
              <w:t xml:space="preserve">Milestone</w:t>
            </w:r>
          </w:p>
        </w:tc>
      </w:tr>
      <w:tr>
        <w:tc>
          <w:tcPr>
            <w:tcW w:type="dxa" w:w="2296"/>
            <w:tcBorders>
              <w:top w:val="single" w:color="D9D9D9" w:sz="4"/>
              <w:left w:val="single" w:color="D9D9D9" w:sz="4"/>
              <w:bottom w:val="single" w:color="D9D9D9" w:sz="4"/>
              <w:right w:val="single" w:color="D9D9D9" w:sz="4"/>
            </w:tcBorders>
            <w:shd w:fill="5B6BFA" w:color="auto" w:val="clear"/>
            <w:tcMar>
              <w:top w:type="dxa" w:w="90"/>
              <w:left w:type="dxa" w:w="130"/>
              <w:bottom w:type="dxa" w:w="90"/>
              <w:right w:type="dxa" w:w="130"/>
            </w:tcMar>
            <w:vAlign w:val="center"/>
          </w:tcPr>
          <w:p>
            <w:pPr>
              <w:jc w:val="left"/>
            </w:pPr>
            <w:r>
              <w:rPr>
                <w:rFonts w:ascii="Inter" w:cs="Inter" w:eastAsia="Inter" w:hAnsi="Inter"/>
                <w:b/>
                <w:bCs/>
                <w:color w:val="FFFFFF"/>
                <w:sz w:val="18"/>
                <w:szCs w:val="18"/>
              </w:rPr>
              <w:t xml:space="preserve">Marketing &amp; Brand</w:t>
            </w:r>
          </w:p>
        </w:tc>
        <w:tc>
          <w:tcPr>
            <w:tcW w:type="dxa" w:w="480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Launch the Z-GATE identity system across web, social and print; produce one case study per division within 90 days.</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Brand guide rollout, website, first client testimonial</w:t>
            </w:r>
          </w:p>
        </w:tc>
      </w:tr>
      <w:tr>
        <w:tc>
          <w:tcPr>
            <w:tcW w:type="dxa" w:w="2296"/>
            <w:tcBorders>
              <w:top w:val="single" w:color="D9D9D9" w:sz="4"/>
              <w:left w:val="single" w:color="D9D9D9" w:sz="4"/>
              <w:bottom w:val="single" w:color="D9D9D9" w:sz="4"/>
              <w:right w:val="single" w:color="D9D9D9" w:sz="4"/>
            </w:tcBorders>
            <w:shd w:fill="C9A15A" w:color="auto" w:val="clear"/>
            <w:tcMar>
              <w:top w:type="dxa" w:w="90"/>
              <w:left w:type="dxa" w:w="130"/>
              <w:bottom w:type="dxa" w:w="90"/>
              <w:right w:type="dxa" w:w="130"/>
            </w:tcMar>
            <w:vAlign w:val="center"/>
          </w:tcPr>
          <w:p>
            <w:pPr>
              <w:jc w:val="left"/>
            </w:pPr>
            <w:r>
              <w:rPr>
                <w:rFonts w:ascii="Inter" w:cs="Inter" w:eastAsia="Inter" w:hAnsi="Inter"/>
                <w:b/>
                <w:bCs/>
                <w:color w:val="FFFFFF"/>
                <w:sz w:val="18"/>
                <w:szCs w:val="18"/>
              </w:rPr>
              <w:t xml:space="preserve">Finance &amp; Advisory Operations</w:t>
            </w:r>
          </w:p>
        </w:tc>
        <w:tc>
          <w:tcPr>
            <w:tcW w:type="dxa" w:w="480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Stand up Advisory as the revenue anchor; build the filing/compliance calendar into a client-facing service.</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First 10 Advisory retainer clients, compliance calendar live</w:t>
            </w:r>
          </w:p>
        </w:tc>
      </w:tr>
      <w:tr>
        <w:tc>
          <w:tcPr>
            <w:tcW w:type="dxa" w:w="2296"/>
            <w:tcBorders>
              <w:top w:val="single" w:color="D9D9D9" w:sz="4"/>
              <w:left w:val="single" w:color="D9D9D9" w:sz="4"/>
              <w:bottom w:val="single" w:color="D9D9D9" w:sz="4"/>
              <w:right w:val="single" w:color="D9D9D9" w:sz="4"/>
            </w:tcBorders>
            <w:shd w:fill="3F8CFA" w:color="auto" w:val="clear"/>
            <w:tcMar>
              <w:top w:type="dxa" w:w="90"/>
              <w:left w:type="dxa" w:w="130"/>
              <w:bottom w:type="dxa" w:w="90"/>
              <w:right w:type="dxa" w:w="130"/>
            </w:tcMar>
            <w:vAlign w:val="center"/>
          </w:tcPr>
          <w:p>
            <w:pPr>
              <w:jc w:val="left"/>
            </w:pPr>
            <w:r>
              <w:rPr>
                <w:rFonts w:ascii="Inter" w:cs="Inter" w:eastAsia="Inter" w:hAnsi="Inter"/>
                <w:b/>
                <w:bCs/>
                <w:color w:val="FFFFFF"/>
                <w:sz w:val="18"/>
                <w:szCs w:val="18"/>
              </w:rPr>
              <w:t xml:space="preserve">Technology &amp; Product</w:t>
            </w:r>
          </w:p>
        </w:tc>
        <w:tc>
          <w:tcPr>
            <w:tcW w:type="dxa" w:w="480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Ship Advisory's client portal and Data's reporting pipeline as the first internal Tech deliverables.</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Client portal MVP, internal reporting pipeline</w:t>
            </w:r>
          </w:p>
        </w:tc>
      </w:tr>
      <w:tr>
        <w:tc>
          <w:tcPr>
            <w:tcW w:type="dxa" w:w="2296"/>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left"/>
            </w:pPr>
            <w:r>
              <w:rPr>
                <w:rFonts w:ascii="Inter" w:cs="Inter" w:eastAsia="Inter" w:hAnsi="Inter"/>
                <w:b/>
                <w:bCs/>
                <w:color w:val="FFFFFF"/>
                <w:sz w:val="18"/>
                <w:szCs w:val="18"/>
              </w:rPr>
              <w:t xml:space="preserve">People &amp; Learning (Academy)</w:t>
            </w:r>
          </w:p>
        </w:tc>
        <w:tc>
          <w:tcPr>
            <w:tcW w:type="dxa" w:w="480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Convert Advisory's in-house expertise into the first two Academy courses; hire or contract first trainer.</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2 courses live, first cohort enrolled</w:t>
            </w:r>
          </w:p>
        </w:tc>
      </w:tr>
      <w:tr>
        <w:tc>
          <w:tcPr>
            <w:tcW w:type="dxa" w:w="2296"/>
            <w:tcBorders>
              <w:top w:val="single" w:color="D9D9D9" w:sz="4"/>
              <w:left w:val="single" w:color="D9D9D9" w:sz="4"/>
              <w:bottom w:val="single" w:color="D9D9D9" w:sz="4"/>
              <w:right w:val="single" w:color="D9D9D9" w:sz="4"/>
            </w:tcBorders>
            <w:shd w:fill="A85CF6" w:color="auto" w:val="clear"/>
            <w:tcMar>
              <w:top w:type="dxa" w:w="90"/>
              <w:left w:type="dxa" w:w="130"/>
              <w:bottom w:type="dxa" w:w="90"/>
              <w:right w:type="dxa" w:w="130"/>
            </w:tcMar>
            <w:vAlign w:val="center"/>
          </w:tcPr>
          <w:p>
            <w:pPr>
              <w:jc w:val="left"/>
            </w:pPr>
            <w:r>
              <w:rPr>
                <w:rFonts w:ascii="Inter" w:cs="Inter" w:eastAsia="Inter" w:hAnsi="Inter"/>
                <w:b/>
                <w:bCs/>
                <w:color w:val="FFFFFF"/>
                <w:sz w:val="18"/>
                <w:szCs w:val="18"/>
              </w:rPr>
              <w:t xml:space="preserve">Data &amp; Analytics</w:t>
            </w:r>
          </w:p>
        </w:tc>
        <w:tc>
          <w:tcPr>
            <w:tcW w:type="dxa" w:w="480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Formalize a BI layer on top of existing data processing/entry services; define standard reporting templates.</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Standard BI dashboard template, first Data client</w:t>
            </w:r>
          </w:p>
        </w:tc>
      </w:tr>
      <w:tr>
        <w:tc>
          <w:tcPr>
            <w:tcW w:type="dxa" w:w="2296"/>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left"/>
            </w:pPr>
            <w:r>
              <w:rPr>
                <w:rFonts w:ascii="Inter" w:cs="Inter" w:eastAsia="Inter" w:hAnsi="Inter"/>
                <w:b/>
                <w:bCs/>
                <w:color w:val="FFFFFF"/>
                <w:sz w:val="18"/>
                <w:szCs w:val="18"/>
              </w:rPr>
              <w:t xml:space="preserve">Legal &amp; Regulatory Compliance</w:t>
            </w:r>
          </w:p>
        </w:tc>
        <w:tc>
          <w:tcPr>
            <w:tcW w:type="dxa" w:w="4802"/>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Review the 5 REVIEW-status activity codes with legal counsel; file any RDB company-detail updates needed.</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Activity code review complete, BO filings current</w:t>
            </w:r>
          </w:p>
        </w:tc>
      </w:tr>
    </w:tbl>
    <w:p>
      <w:r>
        <w:br w:type="page"/>
      </w:r>
    </w:p>
    <w:p>
      <w:pPr>
        <w:spacing w:after="60" w:before="200"/>
      </w:pPr>
      <w:r>
        <w:rPr>
          <w:b/>
          <w:bCs/>
          <w:color w:val="5B6BFA"/>
          <w:sz w:val="20"/>
          <w:szCs w:val="20"/>
        </w:rPr>
        <w:t xml:space="preserve">— </w:t>
      </w:r>
      <w:r>
        <w:rPr>
          <w:b/>
          <w:bCs/>
          <w:color w:val="5B6BFA"/>
          <w:spacing w:val="20"/>
          <w:sz w:val="20"/>
          <w:szCs w:val="20"/>
        </w:rPr>
        <w:t xml:space="preserve">SECTION 06</w:t>
      </w:r>
    </w:p>
    <w:p>
      <w:pPr>
        <w:pStyle w:val="Heading1"/>
        <w:pBdr>
          <w:bottom w:val="single" w:color="0B0F1A" w:sz="12" w:space="6"/>
        </w:pBdr>
        <w:spacing w:after="160" w:before="400"/>
      </w:pPr>
      <w:r>
        <w:rPr>
          <w:rFonts w:ascii="Georgia" w:cs="Georgia" w:eastAsia="Georgia" w:hAnsi="Georgia"/>
          <w:b/>
          <w:bCs/>
          <w:color w:val="0B0F1A"/>
          <w:sz w:val="32"/>
          <w:szCs w:val="32"/>
        </w:rPr>
        <w:t xml:space="preserve">Regulatory Compliance Calendar</w:t>
      </w:r>
    </w:p>
    <w:p>
      <w:pPr>
        <w:spacing w:after="140"/>
      </w:pPr>
      <w:r>
        <w:rPr>
          <w:color w:val="26282E"/>
          <w:sz w:val="20"/>
          <w:szCs w:val="20"/>
        </w:rPr>
        <w:t xml:space="preserve">Drawn from the compliance obligations printed on the back of the RDB registration certificate. This is the calendar Advisory should manage first — for itself, before offering it as a client service.</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tblGrid>
      <w:tr>
        <w:tc>
          <w:tcPr>
            <w:tcW w:type="dxa" w:w="4176"/>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left"/>
            </w:pPr>
            <w:r>
              <w:rPr>
                <w:rFonts w:ascii="Inter" w:cs="Inter" w:eastAsia="Inter" w:hAnsi="Inter"/>
                <w:b/>
                <w:bCs/>
                <w:color w:val="FFFFFF"/>
                <w:sz w:val="19"/>
                <w:szCs w:val="19"/>
              </w:rPr>
              <w:t xml:space="preserve">Obligation</w:t>
            </w:r>
          </w:p>
        </w:tc>
        <w:tc>
          <w:tcPr>
            <w:tcW w:type="dxa" w:w="3967"/>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left"/>
            </w:pPr>
            <w:r>
              <w:rPr>
                <w:rFonts w:ascii="Inter" w:cs="Inter" w:eastAsia="Inter" w:hAnsi="Inter"/>
                <w:b/>
                <w:bCs/>
                <w:color w:val="FFFFFF"/>
                <w:sz w:val="19"/>
                <w:szCs w:val="19"/>
              </w:rPr>
              <w:t xml:space="preserve">Timing / Trigger</w:t>
            </w:r>
          </w:p>
        </w:tc>
        <w:tc>
          <w:tcPr>
            <w:tcW w:type="dxa" w:w="2296"/>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center"/>
            </w:pPr>
            <w:r>
              <w:rPr>
                <w:rFonts w:ascii="Inter" w:cs="Inter" w:eastAsia="Inter" w:hAnsi="Inter"/>
                <w:b/>
                <w:bCs/>
                <w:color w:val="FFFFFF"/>
                <w:sz w:val="19"/>
                <w:szCs w:val="19"/>
              </w:rPr>
              <w:t xml:space="preserve">Frequency</w:t>
            </w:r>
          </w:p>
        </w:tc>
      </w:tr>
      <w:tr>
        <w:tc>
          <w:tcPr>
            <w:tcW w:type="dxa" w:w="4176"/>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Annual Income Tax return</w:t>
            </w:r>
          </w:p>
        </w:tc>
        <w:tc>
          <w:tcPr>
            <w:tcW w:type="dxa" w:w="3967"/>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January – March (following year)</w:t>
            </w:r>
          </w:p>
        </w:tc>
        <w:tc>
          <w:tcPr>
            <w:tcW w:type="dxa" w:w="2296"/>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Annual</w:t>
            </w:r>
          </w:p>
        </w:tc>
      </w:tr>
      <w:tr>
        <w:tc>
          <w:tcPr>
            <w:tcW w:type="dxa" w:w="4176"/>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Quarterly Income Tax prepayments</w:t>
            </w:r>
          </w:p>
        </w:tc>
        <w:tc>
          <w:tcPr>
            <w:tcW w:type="dxa" w:w="3967"/>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By 30 Jun, 30 Sep, 31 Dec</w:t>
            </w:r>
          </w:p>
        </w:tc>
        <w:tc>
          <w:tcPr>
            <w:tcW w:type="dxa" w:w="2296"/>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Quarterly</w:t>
            </w:r>
          </w:p>
        </w:tc>
      </w:tr>
      <w:tr>
        <w:tc>
          <w:tcPr>
            <w:tcW w:type="dxa" w:w="4176"/>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Annual company returns &amp; accounts (private co.)</w:t>
            </w:r>
          </w:p>
        </w:tc>
        <w:tc>
          <w:tcPr>
            <w:tcW w:type="dxa" w:w="3967"/>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January – July (following year)</w:t>
            </w:r>
          </w:p>
        </w:tc>
        <w:tc>
          <w:tcPr>
            <w:tcW w:type="dxa" w:w="2296"/>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Annual</w:t>
            </w:r>
          </w:p>
        </w:tc>
      </w:tr>
      <w:tr>
        <w:tc>
          <w:tcPr>
            <w:tcW w:type="dxa" w:w="4176"/>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PAYE registration &amp; payment</w:t>
            </w:r>
          </w:p>
        </w:tc>
        <w:tc>
          <w:tcPr>
            <w:tcW w:type="dxa" w:w="3967"/>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Ongoing — if any employee earns &gt; RWF 60,000 basic salary</w:t>
            </w:r>
          </w:p>
        </w:tc>
        <w:tc>
          <w:tcPr>
            <w:tcW w:type="dxa" w:w="2296"/>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Ongoing</w:t>
            </w:r>
          </w:p>
        </w:tc>
      </w:tr>
      <w:tr>
        <w:tc>
          <w:tcPr>
            <w:tcW w:type="dxa" w:w="4176"/>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VAT registration</w:t>
            </w:r>
          </w:p>
        </w:tc>
        <w:tc>
          <w:tcPr>
            <w:tcW w:type="dxa" w:w="3967"/>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Mandatory above RWF 5M/quarter or RWF 20M/year turnover</w:t>
            </w:r>
          </w:p>
        </w:tc>
        <w:tc>
          <w:tcPr>
            <w:tcW w:type="dxa" w:w="2296"/>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Threshold-triggered</w:t>
            </w:r>
          </w:p>
        </w:tc>
      </w:tr>
      <w:tr>
        <w:tc>
          <w:tcPr>
            <w:tcW w:type="dxa" w:w="4176"/>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EBM (Electronic Billing Machine) invoicing</w:t>
            </w:r>
          </w:p>
        </w:tc>
        <w:tc>
          <w:tcPr>
            <w:tcW w:type="dxa" w:w="3967"/>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Required from registration — all sales</w:t>
            </w:r>
          </w:p>
        </w:tc>
        <w:tc>
          <w:tcPr>
            <w:tcW w:type="dxa" w:w="2296"/>
            <w:tcBorders>
              <w:top w:val="single" w:color="D9D9D9" w:sz="4"/>
              <w:left w:val="single" w:color="D9D9D9" w:sz="4"/>
              <w:bottom w:val="single" w:color="D9D9D9" w:sz="4"/>
              <w:right w:val="single" w:color="D9D9D9" w:sz="4"/>
            </w:tcBorders>
            <w:shd w:fill="3FAE7A"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Ongoing</w:t>
            </w:r>
          </w:p>
        </w:tc>
      </w:tr>
      <w:tr>
        <w:tc>
          <w:tcPr>
            <w:tcW w:type="dxa" w:w="4176"/>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Beneficial Owner (BO) information update</w:t>
            </w:r>
          </w:p>
        </w:tc>
        <w:tc>
          <w:tcPr>
            <w:tcW w:type="dxa" w:w="3967"/>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Within 14 days of any change</w:t>
            </w:r>
          </w:p>
        </w:tc>
        <w:tc>
          <w:tcPr>
            <w:tcW w:type="dxa" w:w="2296"/>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As needed</w:t>
            </w:r>
          </w:p>
        </w:tc>
      </w:tr>
      <w:tr>
        <w:tc>
          <w:tcPr>
            <w:tcW w:type="dxa" w:w="4176"/>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Company detail changes (name, address, capital, etc.)</w:t>
            </w:r>
          </w:p>
        </w:tc>
        <w:tc>
          <w:tcPr>
            <w:tcW w:type="dxa" w:w="3967"/>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Report to Registrar General via RDB portal</w:t>
            </w:r>
          </w:p>
        </w:tc>
        <w:tc>
          <w:tcPr>
            <w:tcW w:type="dxa" w:w="2296"/>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As needed</w:t>
            </w:r>
          </w:p>
        </w:tc>
      </w:tr>
    </w:tbl>
    <w:p>
      <w:pPr>
        <w:spacing w:after="140"/>
      </w:pPr>
      <w:r>
        <w:rPr>
          <w:i/>
          <w:iCs/>
          <w:color w:val="6B7280"/>
          <w:sz w:val="17"/>
          <w:szCs w:val="17"/>
        </w:rPr>
        <w:t xml:space="preserve">This report summarizes the obligations as printed on the certificate for planning purposes only; it is not tax or legal advice. Confirm current deadlines and thresholds directly with RRA / RDB before filing.</w:t>
      </w:r>
    </w:p>
    <w:p>
      <w:pPr>
        <w:spacing w:after="60" w:before="200"/>
      </w:pPr>
      <w:r>
        <w:rPr>
          <w:b/>
          <w:bCs/>
          <w:color w:val="5B6BFA"/>
          <w:sz w:val="20"/>
          <w:szCs w:val="20"/>
        </w:rPr>
        <w:t xml:space="preserve">— </w:t>
      </w:r>
      <w:r>
        <w:rPr>
          <w:b/>
          <w:bCs/>
          <w:color w:val="5B6BFA"/>
          <w:spacing w:val="20"/>
          <w:sz w:val="20"/>
          <w:szCs w:val="20"/>
        </w:rPr>
        <w:t xml:space="preserve">SECTION 07</w:t>
      </w:r>
    </w:p>
    <w:p>
      <w:pPr>
        <w:pStyle w:val="Heading1"/>
        <w:pBdr>
          <w:bottom w:val="single" w:color="0B0F1A" w:sz="12" w:space="6"/>
        </w:pBdr>
        <w:spacing w:after="160" w:before="400"/>
      </w:pPr>
      <w:r>
        <w:rPr>
          <w:rFonts w:ascii="Georgia" w:cs="Georgia" w:eastAsia="Georgia" w:hAnsi="Georgia"/>
          <w:b/>
          <w:bCs/>
          <w:color w:val="0B0F1A"/>
          <w:sz w:val="32"/>
          <w:szCs w:val="32"/>
        </w:rPr>
        <w:t xml:space="preserve">Recommended Next-Step Documents</w:t>
      </w:r>
    </w:p>
    <w:p>
      <w:pPr>
        <w:spacing w:after="140"/>
      </w:pPr>
      <w:r>
        <w:rPr>
          <w:color w:val="26282E"/>
          <w:sz w:val="20"/>
          <w:szCs w:val="20"/>
        </w:rPr>
        <w:t xml:space="preserve">This report is the strategic foundation. The documents below are the next layer — each should be owned by the function named in Section 05.</w:t>
      </w:r>
    </w:p>
    <w:tbl>
      <w:tblPr>
        <w:tblW w:type="dxa" w:w="10440"/>
        <w:tblBorders>
          <w:top w:val="single" w:color="C9CCD6" w:sz="4"/>
          <w:left w:val="single" w:color="C9CCD6" w:sz="4"/>
          <w:bottom w:val="single" w:color="C9CCD6" w:sz="4"/>
          <w:right w:val="single" w:color="C9CCD6" w:sz="4"/>
          <w:insideH w:val="single" w:color="auto" w:sz="4"/>
          <w:insideV w:val="single" w:color="auto" w:sz="4"/>
        </w:tblBorders>
        <w:tblLayout w:type="fixed"/>
      </w:tblPr>
      <w:tblGrid>
        <w:gridCol w:w="100"/>
        <w:gridCol w:w="100"/>
        <w:gridCol w:w="100"/>
      </w:tblGrid>
      <w:tr>
        <w:tc>
          <w:tcPr>
            <w:tcW w:type="dxa" w:w="5011"/>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left"/>
            </w:pPr>
            <w:r>
              <w:rPr>
                <w:rFonts w:ascii="Inter" w:cs="Inter" w:eastAsia="Inter" w:hAnsi="Inter"/>
                <w:b/>
                <w:bCs/>
                <w:color w:val="FFFFFF"/>
                <w:sz w:val="19"/>
                <w:szCs w:val="19"/>
              </w:rPr>
              <w:t xml:space="preserve">Document</w:t>
            </w:r>
          </w:p>
        </w:tc>
        <w:tc>
          <w:tcPr>
            <w:tcW w:type="dxa" w:w="3340"/>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left"/>
            </w:pPr>
            <w:r>
              <w:rPr>
                <w:rFonts w:ascii="Inter" w:cs="Inter" w:eastAsia="Inter" w:hAnsi="Inter"/>
                <w:b/>
                <w:bCs/>
                <w:color w:val="FFFFFF"/>
                <w:sz w:val="19"/>
                <w:szCs w:val="19"/>
              </w:rPr>
              <w:t xml:space="preserve">Owner</w:t>
            </w:r>
          </w:p>
        </w:tc>
        <w:tc>
          <w:tcPr>
            <w:tcW w:type="dxa" w:w="2088"/>
            <w:tcBorders>
              <w:top w:val="single" w:color="D9D9D9" w:sz="4"/>
              <w:left w:val="single" w:color="D9D9D9" w:sz="4"/>
              <w:bottom w:val="single" w:color="D9D9D9" w:sz="4"/>
              <w:right w:val="single" w:color="D9D9D9" w:sz="4"/>
            </w:tcBorders>
            <w:shd w:fill="0B0F1A" w:color="auto" w:val="clear"/>
            <w:tcMar>
              <w:top w:type="dxa" w:w="90"/>
              <w:left w:type="dxa" w:w="130"/>
              <w:bottom w:type="dxa" w:w="90"/>
              <w:right w:type="dxa" w:w="130"/>
            </w:tcMar>
            <w:vAlign w:val="center"/>
          </w:tcPr>
          <w:p>
            <w:pPr>
              <w:jc w:val="center"/>
            </w:pPr>
            <w:r>
              <w:rPr>
                <w:rFonts w:ascii="Inter" w:cs="Inter" w:eastAsia="Inter" w:hAnsi="Inter"/>
                <w:b/>
                <w:bCs/>
                <w:color w:val="FFFFFF"/>
                <w:sz w:val="19"/>
                <w:szCs w:val="19"/>
              </w:rPr>
              <w:t xml:space="preserve">Priority</w:t>
            </w:r>
          </w:p>
        </w:tc>
      </w:tr>
      <w:tr>
        <w:tc>
          <w:tcPr>
            <w:tcW w:type="dxa" w:w="5011"/>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Full Business Plan</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Marketing &amp; Finance</w:t>
            </w:r>
          </w:p>
        </w:tc>
        <w:tc>
          <w:tcPr>
            <w:tcW w:type="dxa" w:w="2088"/>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High</w:t>
            </w:r>
          </w:p>
        </w:tc>
      </w:tr>
      <w:tr>
        <w:tc>
          <w:tcPr>
            <w:tcW w:type="dxa" w:w="5011"/>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Marketing &amp; Go-to-Market Strategy</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Marketing</w:t>
            </w:r>
          </w:p>
        </w:tc>
        <w:tc>
          <w:tcPr>
            <w:tcW w:type="dxa" w:w="2088"/>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High</w:t>
            </w:r>
          </w:p>
        </w:tc>
      </w:tr>
      <w:tr>
        <w:tc>
          <w:tcPr>
            <w:tcW w:type="dxa" w:w="5011"/>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Financial Model &amp; 12-Month Cash Flow</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Finance &amp; Advisory Ops</w:t>
            </w:r>
          </w:p>
        </w:tc>
        <w:tc>
          <w:tcPr>
            <w:tcW w:type="dxa" w:w="2088"/>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High</w:t>
            </w:r>
          </w:p>
        </w:tc>
      </w:tr>
      <w:tr>
        <w:tc>
          <w:tcPr>
            <w:tcW w:type="dxa" w:w="5011"/>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Client Service Level Agreement (SLA) templates</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Legal &amp; Compliance</w:t>
            </w:r>
          </w:p>
        </w:tc>
        <w:tc>
          <w:tcPr>
            <w:tcW w:type="dxa" w:w="2088"/>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High</w:t>
            </w:r>
          </w:p>
        </w:tc>
      </w:tr>
      <w:tr>
        <w:tc>
          <w:tcPr>
            <w:tcW w:type="dxa" w:w="5011"/>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HR Policy &amp; First-Hire Job Descriptions</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People &amp; Learning</w:t>
            </w:r>
          </w:p>
        </w:tc>
        <w:tc>
          <w:tcPr>
            <w:tcW w:type="dxa" w:w="2088"/>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Medium</w:t>
            </w:r>
          </w:p>
        </w:tc>
      </w:tr>
      <w:tr>
        <w:tc>
          <w:tcPr>
            <w:tcW w:type="dxa" w:w="5011"/>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Data Privacy &amp; Security Policy (for Data/Tech clients)</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Technology &amp; Legal</w:t>
            </w:r>
          </w:p>
        </w:tc>
        <w:tc>
          <w:tcPr>
            <w:tcW w:type="dxa" w:w="2088"/>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Medium</w:t>
            </w:r>
          </w:p>
        </w:tc>
      </w:tr>
      <w:tr>
        <w:tc>
          <w:tcPr>
            <w:tcW w:type="dxa" w:w="5011"/>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Academy Course Curriculum (first 2 courses)</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People &amp; Learning</w:t>
            </w:r>
          </w:p>
        </w:tc>
        <w:tc>
          <w:tcPr>
            <w:tcW w:type="dxa" w:w="2088"/>
            <w:tcBorders>
              <w:top w:val="single" w:color="D9D9D9" w:sz="4"/>
              <w:left w:val="single" w:color="D9D9D9" w:sz="4"/>
              <w:bottom w:val="single" w:color="D9D9D9" w:sz="4"/>
              <w:right w:val="single" w:color="D9D9D9" w:sz="4"/>
            </w:tcBorders>
            <w:shd w:fill="B8860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Medium</w:t>
            </w:r>
          </w:p>
        </w:tc>
      </w:tr>
      <w:tr>
        <w:tc>
          <w:tcPr>
            <w:tcW w:type="dxa" w:w="5011"/>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RDB Activity-Code Review Memo</w:t>
            </w:r>
          </w:p>
        </w:tc>
        <w:tc>
          <w:tcPr>
            <w:tcW w:type="dxa" w:w="3340"/>
            <w:tcBorders>
              <w:top w:val="single" w:color="D9D9D9" w:sz="4"/>
              <w:left w:val="single" w:color="D9D9D9" w:sz="4"/>
              <w:bottom w:val="single" w:color="D9D9D9" w:sz="4"/>
              <w:right w:val="single" w:color="D9D9D9" w:sz="4"/>
            </w:tcBorders>
            <w:tcMar>
              <w:top w:type="dxa" w:w="90"/>
              <w:left w:type="dxa" w:w="130"/>
              <w:bottom w:type="dxa" w:w="90"/>
              <w:right w:type="dxa" w:w="130"/>
            </w:tcMar>
            <w:vAlign w:val="center"/>
          </w:tcPr>
          <w:p>
            <w:pPr>
              <w:jc w:val="left"/>
            </w:pPr>
            <w:r>
              <w:rPr>
                <w:rFonts w:ascii="Inter" w:cs="Inter" w:eastAsia="Inter" w:hAnsi="Inter"/>
                <w:b w:val="false"/>
                <w:bCs w:val="false"/>
                <w:color w:val="0B0F1A"/>
                <w:sz w:val="18"/>
                <w:szCs w:val="18"/>
              </w:rPr>
              <w:t xml:space="preserve">Legal &amp; Compliance</w:t>
            </w:r>
          </w:p>
        </w:tc>
        <w:tc>
          <w:tcPr>
            <w:tcW w:type="dxa" w:w="2088"/>
            <w:tcBorders>
              <w:top w:val="single" w:color="D9D9D9" w:sz="4"/>
              <w:left w:val="single" w:color="D9D9D9" w:sz="4"/>
              <w:bottom w:val="single" w:color="D9D9D9" w:sz="4"/>
              <w:right w:val="single" w:color="D9D9D9" w:sz="4"/>
            </w:tcBorders>
            <w:shd w:fill="C0392B" w:color="auto" w:val="clear"/>
            <w:tcMar>
              <w:top w:type="dxa" w:w="90"/>
              <w:left w:type="dxa" w:w="130"/>
              <w:bottom w:type="dxa" w:w="90"/>
              <w:right w:type="dxa" w:w="130"/>
            </w:tcMar>
            <w:vAlign w:val="center"/>
          </w:tcPr>
          <w:p>
            <w:pPr>
              <w:jc w:val="center"/>
            </w:pPr>
            <w:r>
              <w:rPr>
                <w:rFonts w:ascii="Inter" w:cs="Inter" w:eastAsia="Inter" w:hAnsi="Inter"/>
                <w:b w:val="false"/>
                <w:bCs w:val="false"/>
                <w:color w:val="FFFFFF"/>
                <w:sz w:val="17"/>
                <w:szCs w:val="17"/>
              </w:rPr>
              <w:t xml:space="preserve">High</w:t>
            </w:r>
          </w:p>
        </w:tc>
      </w:tr>
    </w:tbl>
    <w:p>
      <w:pPr>
        <w:pStyle w:val="Heading2"/>
        <w:spacing w:after="120" w:before="260"/>
      </w:pPr>
      <w:r>
        <w:rPr>
          <w:rFonts w:ascii="Georgia" w:cs="Georgia" w:eastAsia="Georgia" w:hAnsi="Georgia"/>
          <w:b/>
          <w:bCs/>
          <w:color w:val="5B6BFA"/>
          <w:sz w:val="24"/>
          <w:szCs w:val="24"/>
        </w:rPr>
        <w:t xml:space="preserve">Closing Note</w:t>
      </w:r>
    </w:p>
    <w:p>
      <w:pPr>
        <w:spacing w:after="140"/>
      </w:pPr>
      <w:r>
        <w:rPr>
          <w:color w:val="26282E"/>
          <w:sz w:val="20"/>
          <w:szCs w:val="20"/>
        </w:rPr>
        <w:t xml:space="preserve">Z-GATE LTD's registration already covers the legal and activity-code foundation for a four-division company — Advisory, Academy, Tech, and Data — plus one emerging fifth line in staffing/HR. The highest-leverage next step is narrowing focus: launch the 11 CORE activities under the brand system already built, hold the 5 ADJACENT activities for a 6–12 month review, and resolve the 5 REVIEW-status activities with legal counsel so the public registration record matches the business the market will actually see.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Pr>
      <w:t xml:space="preserve">Confidential — Prepared for internal strategic use  ·  Page </w:t>
    </w:r>
    <w:r>
      <w:rPr>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pacing w:val="10"/>
        <w:sz w:val="14"/>
        <w:szCs w:val="14"/>
      </w:rPr>
      <w:t xml:space="preserve">Z-GATE LTD  ·  BUSINESS PROJECT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628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2026-08-24T19:52:33.690Z</dcterms:created>
  <dcterms:modified xsi:type="dcterms:W3CDTF">2026-08-24T19:52:33.717Z</dcterms:modified>
</cp:coreProperties>
</file>

<file path=docProps/custom.xml><?xml version="1.0" encoding="utf-8"?>
<Properties xmlns="http://schemas.openxmlformats.org/officeDocument/2006/custom-properties" xmlns:vt="http://schemas.openxmlformats.org/officeDocument/2006/docPropsVTypes"/>
</file>