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jc w:val="center"/>
      </w:pPr>
      <w:r>
        <w:rPr>
          <w:b/>
          <w:bCs/>
          <w:color w:val="5B6BFA"/>
          <w:spacing w:val="26"/>
          <w:sz w:val="18"/>
          <w:szCs w:val="18"/>
        </w:rPr>
        <w:t xml:space="preserve">BUSINESS DEVELOPMENT &amp; PROJECT SETUP DOCUMENT</w:t>
      </w:r>
    </w:p>
    <w:p>
      <w:pPr>
        <w:spacing w:after="60" w:before="220"/>
        <w:jc w:val="center"/>
      </w:pPr>
      <w:r>
        <w:rPr>
          <w:rFonts w:ascii="Georgia" w:cs="Georgia" w:eastAsia="Georgia" w:hAnsi="Georgia"/>
          <w:b/>
          <w:bCs/>
          <w:color w:val="0B0F1A"/>
          <w:sz w:val="44"/>
          <w:szCs w:val="44"/>
        </w:rPr>
        <w:t xml:space="preserve">CLIENT SERVICE LEVEL AGREEMENT</w:t>
      </w:r>
    </w:p>
    <w:p>
      <w:pPr>
        <w:spacing w:after="60"/>
        <w:jc w:val="center"/>
      </w:pPr>
      <w:r>
        <w:rPr>
          <w:rFonts w:ascii="Georgia" w:cs="Georgia" w:eastAsia="Georgia" w:hAnsi="Georgia"/>
          <w:b/>
          <w:bCs/>
          <w:color w:val="0B0F1A"/>
          <w:sz w:val="30"/>
          <w:szCs w:val="30"/>
        </w:rPr>
        <w:t xml:space="preserve">(SLA) TEMPLATE FRAMEWORK</w:t>
      </w:r>
    </w:p>
    <w:p>
      <w:pPr>
        <w:spacing w:after="380"/>
        <w:jc w:val="center"/>
      </w:pPr>
      <w:r>
        <w:rPr>
          <w:i/>
          <w:iCs/>
          <w:color w:val="34E0C9"/>
          <w:sz w:val="22"/>
          <w:szCs w:val="22"/>
        </w:rPr>
        <w:t xml:space="preserve">Z-GATE LTD  ·  Where Business Meets Technology</w:t>
      </w:r>
    </w:p>
    <w:tbl>
      <w:tblPr>
        <w:tblW w:type="dxa" w:w="10440"/>
        <w:jc w:val="center"/>
        <w:tblBorders>
          <w:top w:val="single" w:color="C9CCD6" w:sz="4"/>
          <w:left w:val="single" w:color="C9CCD6" w:sz="4"/>
          <w:bottom w:val="single" w:color="C9CCD6" w:sz="4"/>
          <w:right w:val="single" w:color="C9CCD6" w:sz="4"/>
          <w:insideH w:val="single" w:color="auto" w:sz="4"/>
          <w:insideV w:val="single" w:color="auto" w:sz="4"/>
        </w:tblBorders>
      </w:tblPr>
      <w:tblGrid>
        <w:gridCol w:w="100"/>
        <w:gridCol w:w="100"/>
      </w:tblGrid>
      <w:tr>
        <w:tc>
          <w:tcPr>
            <w:tcW w:type="dxa" w:w="3132"/>
            <w:tcBorders>
              <w:top w:val="single" w:color="D9D9D9" w:sz="4"/>
              <w:left w:val="single" w:color="D9D9D9" w:sz="4"/>
              <w:bottom w:val="single" w:color="D9D9D9" w:sz="4"/>
              <w:right w:val="single" w:color="D9D9D9" w:sz="4"/>
            </w:tcBorders>
            <w:shd w:fill="F3F4F6" w:color="auto" w:val="clear"/>
            <w:tcMar>
              <w:top w:type="dxa" w:w="90"/>
              <w:left w:type="dxa" w:w="120"/>
              <w:bottom w:type="dxa" w:w="90"/>
              <w:right w:type="dxa" w:w="120"/>
            </w:tcMar>
            <w:vAlign w:val="center"/>
          </w:tcPr>
          <w:p>
            <w:pPr>
              <w:jc w:val="left"/>
            </w:pPr>
            <w:r>
              <w:rPr>
                <w:rFonts w:ascii="Inter" w:cs="Inter" w:eastAsia="Inter" w:hAnsi="Inter"/>
                <w:b/>
                <w:bCs/>
                <w:i w:val="false"/>
                <w:iCs w:val="false"/>
                <w:color w:val="0B0F1A"/>
                <w:sz w:val="18"/>
                <w:szCs w:val="18"/>
              </w:rPr>
              <w:t xml:space="preserve">Covers</w:t>
            </w:r>
          </w:p>
        </w:tc>
        <w:tc>
          <w:tcPr>
            <w:tcW w:type="dxa" w:w="7307"/>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i w:val="false"/>
                <w:iCs w:val="false"/>
                <w:color w:val="0B0F1A"/>
                <w:sz w:val="18"/>
                <w:szCs w:val="18"/>
              </w:rPr>
              <w:t xml:space="preserve">Master SLA + 4 division-specific service schedules</w:t>
            </w:r>
          </w:p>
        </w:tc>
      </w:tr>
      <w:tr>
        <w:tc>
          <w:tcPr>
            <w:tcW w:type="dxa" w:w="3132"/>
            <w:tcBorders>
              <w:top w:val="single" w:color="D9D9D9" w:sz="4"/>
              <w:left w:val="single" w:color="D9D9D9" w:sz="4"/>
              <w:bottom w:val="single" w:color="D9D9D9" w:sz="4"/>
              <w:right w:val="single" w:color="D9D9D9" w:sz="4"/>
            </w:tcBorders>
            <w:shd w:fill="F3F4F6" w:color="auto" w:val="clear"/>
            <w:tcMar>
              <w:top w:type="dxa" w:w="90"/>
              <w:left w:type="dxa" w:w="120"/>
              <w:bottom w:type="dxa" w:w="90"/>
              <w:right w:type="dxa" w:w="120"/>
            </w:tcMar>
            <w:vAlign w:val="center"/>
          </w:tcPr>
          <w:p>
            <w:pPr>
              <w:jc w:val="left"/>
            </w:pPr>
            <w:r>
              <w:rPr>
                <w:rFonts w:ascii="Inter" w:cs="Inter" w:eastAsia="Inter" w:hAnsi="Inter"/>
                <w:b/>
                <w:bCs/>
                <w:i w:val="false"/>
                <w:iCs w:val="false"/>
                <w:color w:val="0B0F1A"/>
                <w:sz w:val="18"/>
                <w:szCs w:val="18"/>
              </w:rPr>
              <w:t xml:space="preserve">Divisions</w:t>
            </w:r>
          </w:p>
        </w:tc>
        <w:tc>
          <w:tcPr>
            <w:tcW w:type="dxa" w:w="7307"/>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i w:val="false"/>
                <w:iCs w:val="false"/>
                <w:color w:val="0B0F1A"/>
                <w:sz w:val="18"/>
                <w:szCs w:val="18"/>
              </w:rPr>
              <w:t xml:space="preserve">Advisory · Academy · Tech · Data</w:t>
            </w:r>
          </w:p>
        </w:tc>
      </w:tr>
      <w:tr>
        <w:tc>
          <w:tcPr>
            <w:tcW w:type="dxa" w:w="3132"/>
            <w:tcBorders>
              <w:top w:val="single" w:color="D9D9D9" w:sz="4"/>
              <w:left w:val="single" w:color="D9D9D9" w:sz="4"/>
              <w:bottom w:val="single" w:color="D9D9D9" w:sz="4"/>
              <w:right w:val="single" w:color="D9D9D9" w:sz="4"/>
            </w:tcBorders>
            <w:shd w:fill="F3F4F6" w:color="auto" w:val="clear"/>
            <w:tcMar>
              <w:top w:type="dxa" w:w="90"/>
              <w:left w:type="dxa" w:w="120"/>
              <w:bottom w:type="dxa" w:w="90"/>
              <w:right w:type="dxa" w:w="120"/>
            </w:tcMar>
            <w:vAlign w:val="center"/>
          </w:tcPr>
          <w:p>
            <w:pPr>
              <w:jc w:val="left"/>
            </w:pPr>
            <w:r>
              <w:rPr>
                <w:rFonts w:ascii="Inter" w:cs="Inter" w:eastAsia="Inter" w:hAnsi="Inter"/>
                <w:b/>
                <w:bCs/>
                <w:i w:val="false"/>
                <w:iCs w:val="false"/>
                <w:color w:val="0B0F1A"/>
                <w:sz w:val="18"/>
                <w:szCs w:val="18"/>
              </w:rPr>
              <w:t xml:space="preserve">Prepared By</w:t>
            </w:r>
          </w:p>
        </w:tc>
        <w:tc>
          <w:tcPr>
            <w:tcW w:type="dxa" w:w="7307"/>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i w:val="false"/>
                <w:iCs w:val="false"/>
                <w:color w:val="0B0F1A"/>
                <w:sz w:val="18"/>
                <w:szCs w:val="18"/>
              </w:rPr>
              <w:t xml:space="preserve">Z-GATE Business Project Development Desk</w:t>
            </w:r>
          </w:p>
        </w:tc>
      </w:tr>
      <w:tr>
        <w:tc>
          <w:tcPr>
            <w:tcW w:type="dxa" w:w="3132"/>
            <w:tcBorders>
              <w:top w:val="single" w:color="D9D9D9" w:sz="4"/>
              <w:left w:val="single" w:color="D9D9D9" w:sz="4"/>
              <w:bottom w:val="single" w:color="D9D9D9" w:sz="4"/>
              <w:right w:val="single" w:color="D9D9D9" w:sz="4"/>
            </w:tcBorders>
            <w:shd w:fill="F3F4F6" w:color="auto" w:val="clear"/>
            <w:tcMar>
              <w:top w:type="dxa" w:w="90"/>
              <w:left w:type="dxa" w:w="120"/>
              <w:bottom w:type="dxa" w:w="90"/>
              <w:right w:type="dxa" w:w="120"/>
            </w:tcMar>
            <w:vAlign w:val="center"/>
          </w:tcPr>
          <w:p>
            <w:pPr>
              <w:jc w:val="left"/>
            </w:pPr>
            <w:r>
              <w:rPr>
                <w:rFonts w:ascii="Inter" w:cs="Inter" w:eastAsia="Inter" w:hAnsi="Inter"/>
                <w:b/>
                <w:bCs/>
                <w:i w:val="false"/>
                <w:iCs w:val="false"/>
                <w:color w:val="0B0F1A"/>
                <w:sz w:val="18"/>
                <w:szCs w:val="18"/>
              </w:rPr>
              <w:t xml:space="preserve">Date Issued</w:t>
            </w:r>
          </w:p>
        </w:tc>
        <w:tc>
          <w:tcPr>
            <w:tcW w:type="dxa" w:w="7307"/>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i w:val="false"/>
                <w:iCs w:val="false"/>
                <w:color w:val="0B0F1A"/>
                <w:sz w:val="18"/>
                <w:szCs w:val="18"/>
              </w:rPr>
              <w:t xml:space="preserve">26 August 2026</w:t>
            </w:r>
          </w:p>
        </w:tc>
      </w:tr>
    </w:tbl>
    <w:p>
      <w:pPr>
        <w:spacing w:before="300"/>
      </w:pPr>
    </w:p>
    <w:tbl>
      <w:tblPr>
        <w:tblW w:type="dxa" w:w="10440"/>
        <w:tblBorders>
          <w:top w:val="single" w:color="C0392B" w:sz="4"/>
          <w:left w:val="single" w:color="C0392B" w:sz="4"/>
          <w:bottom w:val="single" w:color="C0392B" w:sz="4"/>
          <w:right w:val="single" w:color="C0392B" w:sz="4"/>
          <w:insideH w:val="single" w:color="auto" w:sz="4"/>
          <w:insideV w:val="single" w:color="auto" w:sz="4"/>
        </w:tblBorders>
      </w:tblPr>
      <w:tblGrid>
        <w:gridCol w:w="100"/>
      </w:tblGrid>
      <w:tr>
        <w:tc>
          <w:tcPr>
            <w:tcW w:type="dxa" w:w="10440"/>
            <w:shd w:fill="FDEEEE" w:color="auto" w:val="clear"/>
            <w:tcMar>
              <w:top w:type="dxa" w:w="200"/>
              <w:left w:type="dxa" w:w="220"/>
              <w:bottom w:type="dxa" w:w="200"/>
              <w:right w:type="dxa" w:w="220"/>
            </w:tcMar>
          </w:tcPr>
          <w:p>
            <w:r>
              <w:rPr>
                <w:b/>
                <w:bCs/>
                <w:color w:val="C0392B"/>
                <w:sz w:val="18"/>
                <w:szCs w:val="18"/>
              </w:rPr>
              <w:t xml:space="preserve">IMPORTANT — TEMPLATE, NOT LEGAL ADVICE</w:t>
            </w:r>
          </w:p>
          <w:p>
            <w:pPr>
              <w:spacing w:before="100"/>
            </w:pPr>
            <w:r>
              <w:rPr>
                <w:color w:val="5A2A2A"/>
                <w:sz w:val="17"/>
                <w:szCs w:val="17"/>
              </w:rPr>
              <w:t xml:space="preserve">This document is a business template prepared for Z-GATE LTD's internal service-delivery and business-development use. It is not legal advice and is not a substitute for review by a licensed Rwandan attorney. Before this SLA is signed with any client, have it reviewed and adapted to the specific engagement, and confirmed against current Rwandan law — including Law N° 058/2021 on the protection of personal data and privacy — by qualified legal counsel.</w:t>
            </w:r>
          </w:p>
        </w:tc>
      </w:tr>
    </w:tbl>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10440"/>
            <w:shd w:fill="0B0F1A" w:color="auto" w:val="clear"/>
            <w:tcMar>
              <w:top w:type="dxa" w:w="260"/>
              <w:left w:type="dxa" w:w="260"/>
              <w:bottom w:type="dxa" w:w="260"/>
              <w:right w:type="dxa" w:w="260"/>
            </w:tcMar>
          </w:tcPr>
          <w:p>
            <w:r>
              <w:rPr>
                <w:b/>
                <w:bCs/>
                <w:color w:val="34E0C9"/>
                <w:spacing w:val="20"/>
                <w:sz w:val="20"/>
                <w:szCs w:val="20"/>
              </w:rPr>
              <w:t xml:space="preserve">PART 1</w:t>
            </w:r>
          </w:p>
          <w:p>
            <w:pPr>
              <w:spacing w:before="80"/>
            </w:pPr>
            <w:r>
              <w:rPr>
                <w:rFonts w:ascii="Georgia" w:cs="Georgia" w:eastAsia="Georgia" w:hAnsi="Georgia"/>
                <w:b/>
                <w:bCs/>
                <w:color w:val="FFFFFF"/>
                <w:sz w:val="32"/>
                <w:szCs w:val="32"/>
              </w:rPr>
              <w:t xml:space="preserve">Master Service Level Agreement — Framework Terms</w:t>
            </w:r>
          </w:p>
        </w:tc>
      </w:tr>
    </w:tbl>
    <w:p>
      <w:pPr>
        <w:spacing w:after="100"/>
      </w:pPr>
    </w:p>
    <w:p>
      <w:pPr>
        <w:spacing w:after="120"/>
      </w:pPr>
      <w:r>
        <w:rPr>
          <w:b w:val="false"/>
          <w:bCs w:val="false"/>
          <w:color w:val="26282E"/>
          <w:sz w:val="19"/>
          <w:szCs w:val="19"/>
        </w:rPr>
        <w:t xml:space="preserve">This Master Service Level Agreement ("Agreement") is entered into between:</w:t>
      </w:r>
    </w:p>
    <w:p>
      <w:pPr>
        <w:spacing w:after="200"/>
      </w:pPr>
      <w:r>
        <w:rPr>
          <w:b/>
          <w:bCs/>
          <w:color w:val="0B0F1A"/>
          <w:sz w:val="19"/>
          <w:szCs w:val="19"/>
        </w:rPr>
        <w:t xml:space="preserve">Z-GATE LTD, a company limited by shares registered in Rwanda (Company Code/TIN: 156848508), registered office at Inyarurembo, Kiyovu, Nyarugenge, Kigali: </w:t>
      </w:r>
      <w:r>
        <w:rPr>
          <w:color w:val="6B7280"/>
          <w:sz w:val="19"/>
          <w:szCs w:val="19"/>
        </w:rPr>
        <w:t xml:space="preserve"/>
      </w:r>
    </w:p>
    <w:p>
      <w:pPr>
        <w:spacing w:after="120"/>
      </w:pPr>
      <w:r>
        <w:rPr>
          <w:i/>
          <w:iCs/>
          <w:color w:val="6B7280"/>
          <w:sz w:val="17"/>
          <w:szCs w:val="17"/>
        </w:rPr>
        <w:t xml:space="preserve">("Z-GATE", "the Company", "we", "us")</w:t>
      </w:r>
    </w:p>
    <w:p>
      <w:pPr>
        <w:spacing w:after="120"/>
      </w:pPr>
      <w:r>
        <w:rPr>
          <w:color w:val="26282E"/>
          <w:sz w:val="19"/>
          <w:szCs w:val="19"/>
        </w:rPr>
        <w:t xml:space="preserve">and</w:t>
      </w:r>
    </w:p>
    <w:p>
      <w:pPr>
        <w:spacing w:after="200"/>
      </w:pPr>
      <w:r>
        <w:rPr>
          <w:b/>
          <w:bCs/>
          <w:color w:val="0B0F1A"/>
          <w:sz w:val="19"/>
          <w:szCs w:val="19"/>
        </w:rPr>
        <w:t xml:space="preserve">Client legal name: </w:t>
      </w:r>
      <w:r>
        <w:rPr>
          <w:color w:val="6B7280"/>
          <w:sz w:val="19"/>
          <w:szCs w:val="19"/>
        </w:rPr>
        <w:t xml:space="preserve">____________________________________________</w:t>
      </w:r>
    </w:p>
    <w:p>
      <w:pPr>
        <w:spacing w:after="200"/>
      </w:pPr>
      <w:r>
        <w:rPr>
          <w:b/>
          <w:bCs/>
          <w:color w:val="0B0F1A"/>
          <w:sz w:val="19"/>
          <w:szCs w:val="19"/>
        </w:rPr>
        <w:t xml:space="preserve">Registration / TIN number (if applicable): </w:t>
      </w:r>
      <w:r>
        <w:rPr>
          <w:color w:val="6B7280"/>
          <w:sz w:val="19"/>
          <w:szCs w:val="19"/>
        </w:rPr>
        <w:t xml:space="preserve">____________________________________________</w:t>
      </w:r>
    </w:p>
    <w:p>
      <w:pPr>
        <w:spacing w:after="200"/>
      </w:pPr>
      <w:r>
        <w:rPr>
          <w:b/>
          <w:bCs/>
          <w:color w:val="0B0F1A"/>
          <w:sz w:val="19"/>
          <w:szCs w:val="19"/>
        </w:rPr>
        <w:t xml:space="preserve">Registered / principal address: </w:t>
      </w:r>
      <w:r>
        <w:rPr>
          <w:color w:val="6B7280"/>
          <w:sz w:val="19"/>
          <w:szCs w:val="19"/>
        </w:rPr>
        <w:t xml:space="preserve">____________________________________________</w:t>
      </w:r>
    </w:p>
    <w:p>
      <w:pPr>
        <w:spacing w:after="120"/>
      </w:pPr>
      <w:r>
        <w:rPr>
          <w:i/>
          <w:iCs/>
          <w:color w:val="6B7280"/>
          <w:sz w:val="17"/>
          <w:szCs w:val="17"/>
        </w:rPr>
        <w:t xml:space="preserve">("the Client", "you")</w:t>
      </w:r>
    </w:p>
    <w:p>
      <w:pPr>
        <w:spacing w:after="120"/>
      </w:pPr>
      <w:r>
        <w:rPr>
          <w:color w:val="26282E"/>
          <w:sz w:val="19"/>
          <w:szCs w:val="19"/>
        </w:rPr>
        <w:t xml:space="preserve">Together "the Parties". This Agreement sets out the general terms that apply across all Z-GATE divisions engaged by the Client, together with one or more Service Schedules (Part 2) defining the specific services, deliverables, and performance targets for each division engaged.</w:t>
      </w:r>
    </w:p>
    <w:p>
      <w:pPr>
        <w:spacing w:after="80" w:before="220"/>
      </w:pPr>
      <w:r>
        <w:rPr>
          <w:rFonts w:ascii="Georgia" w:cs="Georgia" w:eastAsia="Georgia" w:hAnsi="Georgia"/>
          <w:b/>
          <w:bCs/>
          <w:color w:val="0B0F1A"/>
          <w:sz w:val="21"/>
          <w:szCs w:val="21"/>
        </w:rPr>
        <w:t xml:space="preserve">1. Definitions</w:t>
      </w:r>
    </w:p>
    <w:p>
      <w:pPr>
        <w:pStyle w:val="ListParagraph"/>
        <w:numPr>
          <w:ilvl w:val="0"/>
          <w:numId w:val="1"/>
        </w:numPr>
        <w:spacing w:after="60"/>
      </w:pPr>
      <w:r>
        <w:rPr>
          <w:color w:val="26282E"/>
          <w:sz w:val="19"/>
          <w:szCs w:val="19"/>
        </w:rPr>
        <w:t xml:space="preserve">"Services" means the services described in the applicable Service Schedule(s) attached to this Agreement.</w:t>
      </w:r>
    </w:p>
    <w:p>
      <w:pPr>
        <w:pStyle w:val="ListParagraph"/>
        <w:numPr>
          <w:ilvl w:val="0"/>
          <w:numId w:val="1"/>
        </w:numPr>
        <w:spacing w:after="60"/>
      </w:pPr>
      <w:r>
        <w:rPr>
          <w:color w:val="26282E"/>
          <w:sz w:val="19"/>
          <w:szCs w:val="19"/>
        </w:rPr>
        <w:t xml:space="preserve">"Effective Date" means the date this Agreement is signed by both Parties, as stated on the signature page.</w:t>
      </w:r>
    </w:p>
    <w:p>
      <w:pPr>
        <w:pStyle w:val="ListParagraph"/>
        <w:numPr>
          <w:ilvl w:val="0"/>
          <w:numId w:val="1"/>
        </w:numPr>
        <w:spacing w:after="60"/>
      </w:pPr>
      <w:r>
        <w:rPr>
          <w:color w:val="26282E"/>
          <w:sz w:val="19"/>
          <w:szCs w:val="19"/>
        </w:rPr>
        <w:t xml:space="preserve">"Business Day" means any day other than a Saturday, Sunday, or Rwandan public holiday.</w:t>
      </w:r>
    </w:p>
    <w:p>
      <w:pPr>
        <w:pStyle w:val="ListParagraph"/>
        <w:numPr>
          <w:ilvl w:val="0"/>
          <w:numId w:val="1"/>
        </w:numPr>
        <w:spacing w:after="60"/>
      </w:pPr>
      <w:r>
        <w:rPr>
          <w:color w:val="26282E"/>
          <w:sz w:val="19"/>
          <w:szCs w:val="19"/>
        </w:rPr>
        <w:t xml:space="preserve">"Deliverable" means any output, report, filing, system, dataset, or certificate Z-GATE provides to the Client under a Service Schedule.</w:t>
      </w:r>
    </w:p>
    <w:p>
      <w:pPr>
        <w:pStyle w:val="ListParagraph"/>
        <w:numPr>
          <w:ilvl w:val="0"/>
          <w:numId w:val="1"/>
        </w:numPr>
        <w:spacing w:after="60"/>
      </w:pPr>
      <w:r>
        <w:rPr>
          <w:color w:val="26282E"/>
          <w:sz w:val="19"/>
          <w:szCs w:val="19"/>
        </w:rPr>
        <w:t xml:space="preserve">"Confidential Information" means any non-public information disclosed by either Party in connection with this Agreement, including financial records, business plans, and personal data.</w:t>
      </w:r>
    </w:p>
    <w:p>
      <w:pPr>
        <w:spacing w:after="80" w:before="220"/>
      </w:pPr>
      <w:r>
        <w:rPr>
          <w:rFonts w:ascii="Georgia" w:cs="Georgia" w:eastAsia="Georgia" w:hAnsi="Georgia"/>
          <w:b/>
          <w:bCs/>
          <w:color w:val="0B0F1A"/>
          <w:sz w:val="21"/>
          <w:szCs w:val="21"/>
        </w:rPr>
        <w:t xml:space="preserve">2. Term &amp; Commencement</w:t>
      </w:r>
    </w:p>
    <w:p>
      <w:pPr>
        <w:pStyle w:val="ListParagraph"/>
        <w:numPr>
          <w:ilvl w:val="0"/>
          <w:numId w:val="1"/>
        </w:numPr>
        <w:spacing w:after="60"/>
      </w:pPr>
      <w:r>
        <w:rPr>
          <w:color w:val="26282E"/>
          <w:sz w:val="19"/>
          <w:szCs w:val="19"/>
        </w:rPr>
        <w:t xml:space="preserve">This Agreement commences on the Effective Date and continues for an initial term of [12] months, renewing automatically for successive [12]-month periods unless either Party gives [30] days' written notice of non-renewal.</w:t>
      </w:r>
    </w:p>
    <w:p>
      <w:pPr>
        <w:pStyle w:val="ListParagraph"/>
        <w:numPr>
          <w:ilvl w:val="0"/>
          <w:numId w:val="1"/>
        </w:numPr>
        <w:spacing w:after="60"/>
      </w:pPr>
      <w:r>
        <w:rPr>
          <w:color w:val="26282E"/>
          <w:sz w:val="19"/>
          <w:szCs w:val="19"/>
        </w:rPr>
        <w:t xml:space="preserve">Each Service Schedule may specify its own start date and duration where it differs from the Agreement's general term.</w:t>
      </w:r>
    </w:p>
    <w:p>
      <w:pPr>
        <w:spacing w:after="80" w:before="220"/>
      </w:pPr>
      <w:r>
        <w:rPr>
          <w:rFonts w:ascii="Georgia" w:cs="Georgia" w:eastAsia="Georgia" w:hAnsi="Georgia"/>
          <w:b/>
          <w:bCs/>
          <w:color w:val="0B0F1A"/>
          <w:sz w:val="21"/>
          <w:szCs w:val="21"/>
        </w:rPr>
        <w:t xml:space="preserve">3. Scope of Services</w:t>
      </w:r>
    </w:p>
    <w:p>
      <w:pPr>
        <w:pStyle w:val="ListParagraph"/>
        <w:numPr>
          <w:ilvl w:val="0"/>
          <w:numId w:val="1"/>
        </w:numPr>
        <w:spacing w:after="60"/>
      </w:pPr>
      <w:r>
        <w:rPr>
          <w:color w:val="26282E"/>
          <w:sz w:val="19"/>
          <w:szCs w:val="19"/>
        </w:rPr>
        <w:t xml:space="preserve">Z-GATE will provide the Services described in the Service Schedule(s) signed by the Client, listed in Part 2 of this document (Schedules A–D).</w:t>
      </w:r>
    </w:p>
    <w:p>
      <w:pPr>
        <w:pStyle w:val="ListParagraph"/>
        <w:numPr>
          <w:ilvl w:val="0"/>
          <w:numId w:val="1"/>
        </w:numPr>
        <w:spacing w:after="60"/>
      </w:pPr>
      <w:r>
        <w:rPr>
          <w:color w:val="26282E"/>
          <w:sz w:val="19"/>
          <w:szCs w:val="19"/>
        </w:rPr>
        <w:t xml:space="preserve">Services not described in a signed Service Schedule are out of scope and will be quoted separately before work begins.</w:t>
      </w:r>
    </w:p>
    <w:p>
      <w:pPr>
        <w:spacing w:after="80" w:before="220"/>
      </w:pPr>
      <w:r>
        <w:rPr>
          <w:rFonts w:ascii="Georgia" w:cs="Georgia" w:eastAsia="Georgia" w:hAnsi="Georgia"/>
          <w:b/>
          <w:bCs/>
          <w:color w:val="0B0F1A"/>
          <w:sz w:val="21"/>
          <w:szCs w:val="21"/>
        </w:rPr>
        <w:t xml:space="preserve">4. Fees &amp; Payment Terms</w:t>
      </w:r>
    </w:p>
    <w:p>
      <w:pPr>
        <w:pStyle w:val="ListParagraph"/>
        <w:numPr>
          <w:ilvl w:val="0"/>
          <w:numId w:val="1"/>
        </w:numPr>
        <w:spacing w:after="60"/>
      </w:pPr>
      <w:r>
        <w:rPr>
          <w:color w:val="26282E"/>
          <w:sz w:val="19"/>
          <w:szCs w:val="19"/>
        </w:rPr>
        <w:t xml:space="preserve">Fees for each division's Services are set out in the applicable Service Schedule and are exclusive of VAT unless stated otherwise.</w:t>
      </w:r>
    </w:p>
    <w:p>
      <w:pPr>
        <w:pStyle w:val="ListParagraph"/>
        <w:numPr>
          <w:ilvl w:val="0"/>
          <w:numId w:val="1"/>
        </w:numPr>
        <w:spacing w:after="60"/>
      </w:pPr>
      <w:r>
        <w:rPr>
          <w:color w:val="26282E"/>
          <w:sz w:val="19"/>
          <w:szCs w:val="19"/>
        </w:rPr>
        <w:t xml:space="preserve">Invoices are issued monthly in arrears (or as stated in the Service Schedule) and are payable within [15] days of the invoice date.</w:t>
      </w:r>
    </w:p>
    <w:p>
      <w:pPr>
        <w:pStyle w:val="ListParagraph"/>
        <w:numPr>
          <w:ilvl w:val="0"/>
          <w:numId w:val="1"/>
        </w:numPr>
        <w:spacing w:after="60"/>
      </w:pPr>
      <w:r>
        <w:rPr>
          <w:color w:val="26282E"/>
          <w:sz w:val="19"/>
          <w:szCs w:val="19"/>
        </w:rPr>
        <w:t xml:space="preserve">All invoices are issued through Z-GATE's EBM-compliant billing system in accordance with RRA requirements.</w:t>
      </w:r>
    </w:p>
    <w:p>
      <w:pPr>
        <w:pStyle w:val="ListParagraph"/>
        <w:numPr>
          <w:ilvl w:val="0"/>
          <w:numId w:val="1"/>
        </w:numPr>
        <w:spacing w:after="60"/>
      </w:pPr>
      <w:r>
        <w:rPr>
          <w:color w:val="26282E"/>
          <w:sz w:val="19"/>
          <w:szCs w:val="19"/>
        </w:rPr>
        <w:t xml:space="preserve">Late payment beyond [30] days may result in suspension of Services on [7] days' written notice.</w:t>
      </w:r>
    </w:p>
    <w:p>
      <w:pPr>
        <w:spacing w:after="80" w:before="220"/>
      </w:pPr>
      <w:r>
        <w:rPr>
          <w:rFonts w:ascii="Georgia" w:cs="Georgia" w:eastAsia="Georgia" w:hAnsi="Georgia"/>
          <w:b/>
          <w:bCs/>
          <w:color w:val="0B0F1A"/>
          <w:sz w:val="21"/>
          <w:szCs w:val="21"/>
        </w:rPr>
        <w:t xml:space="preserve">5. Confidentiality</w:t>
      </w:r>
    </w:p>
    <w:p>
      <w:pPr>
        <w:pStyle w:val="ListParagraph"/>
        <w:numPr>
          <w:ilvl w:val="0"/>
          <w:numId w:val="1"/>
        </w:numPr>
        <w:spacing w:after="60"/>
      </w:pPr>
      <w:r>
        <w:rPr>
          <w:color w:val="26282E"/>
          <w:sz w:val="19"/>
          <w:szCs w:val="19"/>
        </w:rPr>
        <w:t xml:space="preserve">Each Party will keep the other's Confidential Information private, use it only to perform this Agreement, and not disclose it to any third party without prior written consent, except where disclosure is required by law or by a competent Rwandan authority (including the Rwanda Revenue Authority or National Cyber Security Authority).</w:t>
      </w:r>
    </w:p>
    <w:p>
      <w:pPr>
        <w:pStyle w:val="ListParagraph"/>
        <w:numPr>
          <w:ilvl w:val="0"/>
          <w:numId w:val="1"/>
        </w:numPr>
        <w:spacing w:after="60"/>
      </w:pPr>
      <w:r>
        <w:rPr>
          <w:color w:val="26282E"/>
          <w:sz w:val="19"/>
          <w:szCs w:val="19"/>
        </w:rPr>
        <w:t xml:space="preserve">This obligation survives termination of this Agreement for [3] years.</w:t>
      </w:r>
    </w:p>
    <w:p>
      <w:pPr>
        <w:spacing w:after="80" w:before="220"/>
      </w:pPr>
      <w:r>
        <w:rPr>
          <w:rFonts w:ascii="Georgia" w:cs="Georgia" w:eastAsia="Georgia" w:hAnsi="Georgia"/>
          <w:b/>
          <w:bCs/>
          <w:color w:val="0B0F1A"/>
          <w:sz w:val="21"/>
          <w:szCs w:val="21"/>
        </w:rPr>
        <w:t xml:space="preserve">6. Data Protection &amp; Privacy</w:t>
      </w:r>
    </w:p>
    <w:p>
      <w:pPr>
        <w:pStyle w:val="ListParagraph"/>
        <w:numPr>
          <w:ilvl w:val="0"/>
          <w:numId w:val="1"/>
        </w:numPr>
        <w:spacing w:after="60"/>
      </w:pPr>
      <w:r>
        <w:rPr>
          <w:color w:val="26282E"/>
          <w:sz w:val="19"/>
          <w:szCs w:val="19"/>
        </w:rPr>
        <w:t xml:space="preserve">Where Z-GATE processes personal data on the Client's behalf (including under the Advisory, Data, or Tech Service Schedules), Z-GATE acts as a data processor and the Client as data controller, in each case as those terms are defined under Law N° 058/2021 relating to the Protection of Personal Data and Privacy.</w:t>
      </w:r>
    </w:p>
    <w:p>
      <w:pPr>
        <w:pStyle w:val="ListParagraph"/>
        <w:numPr>
          <w:ilvl w:val="0"/>
          <w:numId w:val="1"/>
        </w:numPr>
        <w:spacing w:after="60"/>
      </w:pPr>
      <w:r>
        <w:rPr>
          <w:color w:val="26282E"/>
          <w:sz w:val="19"/>
          <w:szCs w:val="19"/>
        </w:rPr>
        <w:t xml:space="preserve">Z-GATE maintains its registration with the National Cyber Security Authority (NCSA), has designated a Data Protection Officer, and will notify the Client without undue delay of any personal data breach affecting the Client's data.</w:t>
      </w:r>
    </w:p>
    <w:p>
      <w:pPr>
        <w:pStyle w:val="ListParagraph"/>
        <w:numPr>
          <w:ilvl w:val="0"/>
          <w:numId w:val="1"/>
        </w:numPr>
        <w:spacing w:after="60"/>
      </w:pPr>
      <w:r>
        <w:rPr>
          <w:color w:val="26282E"/>
          <w:sz w:val="19"/>
          <w:szCs w:val="19"/>
        </w:rPr>
        <w:t xml:space="preserve">The Client confirms it has the necessary consent or other lawful basis to share any personal data it provides to Z-GATE for the purposes of this Agreement.</w:t>
      </w:r>
    </w:p>
    <w:p>
      <w:pPr>
        <w:pStyle w:val="ListParagraph"/>
        <w:numPr>
          <w:ilvl w:val="0"/>
          <w:numId w:val="1"/>
        </w:numPr>
        <w:spacing w:after="60"/>
      </w:pPr>
      <w:r>
        <w:rPr>
          <w:color w:val="26282E"/>
          <w:sz w:val="19"/>
          <w:szCs w:val="19"/>
        </w:rPr>
        <w:t xml:space="preserve">Personal data will be stored within Rwanda unless the Parties agree in writing to an alternative arrangement consistent with NCSA requirements.</w:t>
      </w:r>
    </w:p>
    <w:p>
      <w:pPr>
        <w:spacing w:after="80" w:before="220"/>
      </w:pPr>
      <w:r>
        <w:rPr>
          <w:rFonts w:ascii="Georgia" w:cs="Georgia" w:eastAsia="Georgia" w:hAnsi="Georgia"/>
          <w:b/>
          <w:bCs/>
          <w:color w:val="0B0F1A"/>
          <w:sz w:val="21"/>
          <w:szCs w:val="21"/>
        </w:rPr>
        <w:t xml:space="preserve">7. Service Standards &amp; Performance</w:t>
      </w:r>
    </w:p>
    <w:p>
      <w:pPr>
        <w:pStyle w:val="ListParagraph"/>
        <w:numPr>
          <w:ilvl w:val="0"/>
          <w:numId w:val="1"/>
        </w:numPr>
        <w:spacing w:after="60"/>
      </w:pPr>
      <w:r>
        <w:rPr>
          <w:color w:val="26282E"/>
          <w:sz w:val="19"/>
          <w:szCs w:val="19"/>
        </w:rPr>
        <w:t xml:space="preserve">Performance targets (response times, turnaround times, and quality metrics) for each division are set out in its Service Schedule.</w:t>
      </w:r>
    </w:p>
    <w:p>
      <w:pPr>
        <w:pStyle w:val="ListParagraph"/>
        <w:numPr>
          <w:ilvl w:val="0"/>
          <w:numId w:val="1"/>
        </w:numPr>
        <w:spacing w:after="60"/>
      </w:pPr>
      <w:r>
        <w:rPr>
          <w:color w:val="26282E"/>
          <w:sz w:val="19"/>
          <w:szCs w:val="19"/>
        </w:rPr>
        <w:t xml:space="preserve">Z-GATE will use commercially reasonable efforts to meet these targets and will notify the Client promptly of any anticipated delay, together with a revised estimate.</w:t>
      </w:r>
    </w:p>
    <w:p>
      <w:pPr>
        <w:pStyle w:val="ListParagraph"/>
        <w:numPr>
          <w:ilvl w:val="0"/>
          <w:numId w:val="1"/>
        </w:numPr>
        <w:spacing w:after="60"/>
      </w:pPr>
      <w:r>
        <w:rPr>
          <w:color w:val="26282E"/>
          <w:sz w:val="19"/>
          <w:szCs w:val="19"/>
        </w:rPr>
        <w:t xml:space="preserve">Repeated failure to meet a Service Schedule's core performance targets (see each Schedule's escalation clause) entitles the Client to raise the matter under the escalation procedure in Clause 8 before pursuing termination under Clause 10.</w:t>
      </w:r>
    </w:p>
    <w:p>
      <w:pPr>
        <w:spacing w:after="80" w:before="220"/>
      </w:pPr>
      <w:r>
        <w:rPr>
          <w:rFonts w:ascii="Georgia" w:cs="Georgia" w:eastAsia="Georgia" w:hAnsi="Georgia"/>
          <w:b/>
          <w:bCs/>
          <w:color w:val="0B0F1A"/>
          <w:sz w:val="21"/>
          <w:szCs w:val="21"/>
        </w:rPr>
        <w:t xml:space="preserve">8. Escalation Procedure</w:t>
      </w:r>
    </w:p>
    <w:p>
      <w:pPr>
        <w:pStyle w:val="ListParagraph"/>
        <w:numPr>
          <w:ilvl w:val="0"/>
          <w:numId w:val="1"/>
        </w:numPr>
        <w:spacing w:after="60"/>
      </w:pPr>
      <w:r>
        <w:rPr>
          <w:color w:val="26282E"/>
          <w:sz w:val="19"/>
          <w:szCs w:val="19"/>
        </w:rPr>
        <w:t xml:space="preserve">Level 1 — Service Delivery Lead: routine queries and standard service requests, acknowledged within the response time stated in the applicable Service Schedule.</w:t>
      </w:r>
    </w:p>
    <w:p>
      <w:pPr>
        <w:pStyle w:val="ListParagraph"/>
        <w:numPr>
          <w:ilvl w:val="0"/>
          <w:numId w:val="1"/>
        </w:numPr>
        <w:spacing w:after="60"/>
      </w:pPr>
      <w:r>
        <w:rPr>
          <w:color w:val="26282E"/>
          <w:sz w:val="19"/>
          <w:szCs w:val="19"/>
        </w:rPr>
        <w:t xml:space="preserve">Level 2 — Division Manager: unresolved issues after 2 Business Days, or any missed performance target.</w:t>
      </w:r>
    </w:p>
    <w:p>
      <w:pPr>
        <w:pStyle w:val="ListParagraph"/>
        <w:numPr>
          <w:ilvl w:val="0"/>
          <w:numId w:val="1"/>
        </w:numPr>
        <w:spacing w:after="60"/>
      </w:pPr>
      <w:r>
        <w:rPr>
          <w:color w:val="26282E"/>
          <w:sz w:val="19"/>
          <w:szCs w:val="19"/>
        </w:rPr>
        <w:t xml:space="preserve">Level 3 — Managing Director: unresolved issues after 5 Business Days, contractual disputes, or any matter involving suspension or termination.</w:t>
      </w:r>
    </w:p>
    <w:p>
      <w:pPr>
        <w:spacing w:after="80" w:before="220"/>
      </w:pPr>
      <w:r>
        <w:rPr>
          <w:rFonts w:ascii="Georgia" w:cs="Georgia" w:eastAsia="Georgia" w:hAnsi="Georgia"/>
          <w:b/>
          <w:bCs/>
          <w:color w:val="0B0F1A"/>
          <w:sz w:val="21"/>
          <w:szCs w:val="21"/>
        </w:rPr>
        <w:t xml:space="preserve">9. Client Responsibilities</w:t>
      </w:r>
    </w:p>
    <w:p>
      <w:pPr>
        <w:pStyle w:val="ListParagraph"/>
        <w:numPr>
          <w:ilvl w:val="0"/>
          <w:numId w:val="1"/>
        </w:numPr>
        <w:spacing w:after="60"/>
      </w:pPr>
      <w:r>
        <w:rPr>
          <w:color w:val="26282E"/>
          <w:sz w:val="19"/>
          <w:szCs w:val="19"/>
        </w:rPr>
        <w:t xml:space="preserve">The Client will provide accurate, complete information and timely access to records, systems, or personnel reasonably required for Z-GATE to perform the Services.</w:t>
      </w:r>
    </w:p>
    <w:p>
      <w:pPr>
        <w:pStyle w:val="ListParagraph"/>
        <w:numPr>
          <w:ilvl w:val="0"/>
          <w:numId w:val="1"/>
        </w:numPr>
        <w:spacing w:after="60"/>
      </w:pPr>
      <w:r>
        <w:rPr>
          <w:color w:val="26282E"/>
          <w:sz w:val="19"/>
          <w:szCs w:val="19"/>
        </w:rPr>
        <w:t xml:space="preserve">Delays caused by incomplete or late information from the Client extend the applicable performance targets accordingly and do not count as a missed target under Clause 7.</w:t>
      </w:r>
    </w:p>
    <w:p>
      <w:pPr>
        <w:spacing w:after="80" w:before="220"/>
      </w:pPr>
      <w:r>
        <w:rPr>
          <w:rFonts w:ascii="Georgia" w:cs="Georgia" w:eastAsia="Georgia" w:hAnsi="Georgia"/>
          <w:b/>
          <w:bCs/>
          <w:color w:val="0B0F1A"/>
          <w:sz w:val="21"/>
          <w:szCs w:val="21"/>
        </w:rPr>
        <w:t xml:space="preserve">10. Limitation of Liability</w:t>
      </w:r>
    </w:p>
    <w:p>
      <w:pPr>
        <w:pStyle w:val="ListParagraph"/>
        <w:numPr>
          <w:ilvl w:val="0"/>
          <w:numId w:val="1"/>
        </w:numPr>
        <w:spacing w:after="60"/>
      </w:pPr>
      <w:r>
        <w:rPr>
          <w:color w:val="26282E"/>
          <w:sz w:val="19"/>
          <w:szCs w:val="19"/>
        </w:rPr>
        <w:t xml:space="preserve">Except in cases of gross negligence or wilful misconduct, Z-GATE's total liability under this Agreement in any 12-month period is limited to the fees paid by the Client to Z-GATE for the relevant Service Schedule during that period.</w:t>
      </w:r>
    </w:p>
    <w:p>
      <w:pPr>
        <w:pStyle w:val="ListParagraph"/>
        <w:numPr>
          <w:ilvl w:val="0"/>
          <w:numId w:val="1"/>
        </w:numPr>
        <w:spacing w:after="60"/>
      </w:pPr>
      <w:r>
        <w:rPr>
          <w:color w:val="26282E"/>
          <w:sz w:val="19"/>
          <w:szCs w:val="19"/>
        </w:rPr>
        <w:t xml:space="preserve">Neither Party is liable for indirect or consequential loss, including loss of profit or loss of data, except where such loss arises from a breach of Clause 6 (Data Protection &amp; Privacy).</w:t>
      </w:r>
    </w:p>
    <w:p>
      <w:pPr>
        <w:spacing w:after="80" w:before="220"/>
      </w:pPr>
      <w:r>
        <w:rPr>
          <w:rFonts w:ascii="Georgia" w:cs="Georgia" w:eastAsia="Georgia" w:hAnsi="Georgia"/>
          <w:b/>
          <w:bCs/>
          <w:color w:val="0B0F1A"/>
          <w:sz w:val="21"/>
          <w:szCs w:val="21"/>
        </w:rPr>
        <w:t xml:space="preserve">11. Termination</w:t>
      </w:r>
    </w:p>
    <w:p>
      <w:pPr>
        <w:pStyle w:val="ListParagraph"/>
        <w:numPr>
          <w:ilvl w:val="0"/>
          <w:numId w:val="1"/>
        </w:numPr>
        <w:spacing w:after="60"/>
      </w:pPr>
      <w:r>
        <w:rPr>
          <w:color w:val="26282E"/>
          <w:sz w:val="19"/>
          <w:szCs w:val="19"/>
        </w:rPr>
        <w:t xml:space="preserve">Either Party may terminate a Service Schedule, or this Agreement in full, on [30] days' written notice.</w:t>
      </w:r>
    </w:p>
    <w:p>
      <w:pPr>
        <w:pStyle w:val="ListParagraph"/>
        <w:numPr>
          <w:ilvl w:val="0"/>
          <w:numId w:val="1"/>
        </w:numPr>
        <w:spacing w:after="60"/>
      </w:pPr>
      <w:r>
        <w:rPr>
          <w:color w:val="26282E"/>
          <w:sz w:val="19"/>
          <w:szCs w:val="19"/>
        </w:rPr>
        <w:t xml:space="preserve">Either Party may terminate immediately on written notice if the other Party is in material breach and fails to remedy that breach within [14] days of being notified, or becomes insolvent.</w:t>
      </w:r>
    </w:p>
    <w:p>
      <w:pPr>
        <w:pStyle w:val="ListParagraph"/>
        <w:numPr>
          <w:ilvl w:val="0"/>
          <w:numId w:val="1"/>
        </w:numPr>
        <w:spacing w:after="60"/>
      </w:pPr>
      <w:r>
        <w:rPr>
          <w:color w:val="26282E"/>
          <w:sz w:val="19"/>
          <w:szCs w:val="19"/>
        </w:rPr>
        <w:t xml:space="preserve">On termination, Z-GATE will deliver all outstanding Deliverables the Client has paid for and return or securely delete the Client's data in accordance with Clause 6, unless retention is required by law.</w:t>
      </w:r>
    </w:p>
    <w:p>
      <w:pPr>
        <w:spacing w:after="80" w:before="220"/>
      </w:pPr>
      <w:r>
        <w:rPr>
          <w:rFonts w:ascii="Georgia" w:cs="Georgia" w:eastAsia="Georgia" w:hAnsi="Georgia"/>
          <w:b/>
          <w:bCs/>
          <w:color w:val="0B0F1A"/>
          <w:sz w:val="21"/>
          <w:szCs w:val="21"/>
        </w:rPr>
        <w:t xml:space="preserve">12. Force Majeure</w:t>
      </w:r>
    </w:p>
    <w:p>
      <w:pPr>
        <w:pStyle w:val="ListParagraph"/>
        <w:numPr>
          <w:ilvl w:val="0"/>
          <w:numId w:val="1"/>
        </w:numPr>
        <w:spacing w:after="60"/>
      </w:pPr>
      <w:r>
        <w:rPr>
          <w:color w:val="26282E"/>
          <w:sz w:val="19"/>
          <w:szCs w:val="19"/>
        </w:rPr>
        <w:t xml:space="preserve">Neither Party is liable for delay or failure to perform caused by events beyond its reasonable control, including natural disaster, government action, power or network outages, or public health emergencies, provided the affected Party notifies the other promptly and resumes performance as soon as reasonably possible.</w:t>
      </w:r>
    </w:p>
    <w:p>
      <w:pPr>
        <w:spacing w:after="80" w:before="220"/>
      </w:pPr>
      <w:r>
        <w:rPr>
          <w:rFonts w:ascii="Georgia" w:cs="Georgia" w:eastAsia="Georgia" w:hAnsi="Georgia"/>
          <w:b/>
          <w:bCs/>
          <w:color w:val="0B0F1A"/>
          <w:sz w:val="21"/>
          <w:szCs w:val="21"/>
        </w:rPr>
        <w:t xml:space="preserve">13. Amendments</w:t>
      </w:r>
    </w:p>
    <w:p>
      <w:pPr>
        <w:pStyle w:val="ListParagraph"/>
        <w:numPr>
          <w:ilvl w:val="0"/>
          <w:numId w:val="1"/>
        </w:numPr>
        <w:spacing w:after="60"/>
      </w:pPr>
      <w:r>
        <w:rPr>
          <w:color w:val="26282E"/>
          <w:sz w:val="19"/>
          <w:szCs w:val="19"/>
        </w:rPr>
        <w:t xml:space="preserve">This Agreement, including any Service Schedule, may only be amended in writing, signed by an authorized representative of each Party.</w:t>
      </w:r>
    </w:p>
    <w:p>
      <w:pPr>
        <w:spacing w:after="80" w:before="220"/>
      </w:pPr>
      <w:r>
        <w:rPr>
          <w:rFonts w:ascii="Georgia" w:cs="Georgia" w:eastAsia="Georgia" w:hAnsi="Georgia"/>
          <w:b/>
          <w:bCs/>
          <w:color w:val="0B0F1A"/>
          <w:sz w:val="21"/>
          <w:szCs w:val="21"/>
        </w:rPr>
        <w:t xml:space="preserve">14. Governing Law &amp; Dispute Resolution</w:t>
      </w:r>
    </w:p>
    <w:p>
      <w:pPr>
        <w:pStyle w:val="ListParagraph"/>
        <w:numPr>
          <w:ilvl w:val="0"/>
          <w:numId w:val="1"/>
        </w:numPr>
        <w:spacing w:after="60"/>
      </w:pPr>
      <w:r>
        <w:rPr>
          <w:color w:val="26282E"/>
          <w:sz w:val="19"/>
          <w:szCs w:val="19"/>
        </w:rPr>
        <w:t xml:space="preserve">This Agreement is governed by the laws of the Republic of Rwanda.</w:t>
      </w:r>
    </w:p>
    <w:p>
      <w:pPr>
        <w:pStyle w:val="ListParagraph"/>
        <w:numPr>
          <w:ilvl w:val="0"/>
          <w:numId w:val="1"/>
        </w:numPr>
        <w:spacing w:after="60"/>
      </w:pPr>
      <w:r>
        <w:rPr>
          <w:color w:val="26282E"/>
          <w:sz w:val="19"/>
          <w:szCs w:val="19"/>
        </w:rPr>
        <w:t xml:space="preserve">The Parties will first attempt to resolve any dispute through good-faith negotiation via the escalation procedure in Clause 8. Unresolved disputes will be submitted to mediation, and failing settlement, to the competent courts of Kigali, unless the Parties agree in writing to refer the matter to arbitration.</w:t>
      </w:r>
    </w:p>
    <w:p>
      <w:pPr>
        <w:spacing w:after="80" w:before="220"/>
      </w:pPr>
      <w:r>
        <w:rPr>
          <w:rFonts w:ascii="Georgia" w:cs="Georgia" w:eastAsia="Georgia" w:hAnsi="Georgia"/>
          <w:b/>
          <w:bCs/>
          <w:color w:val="0B0F1A"/>
          <w:sz w:val="21"/>
          <w:szCs w:val="21"/>
        </w:rPr>
        <w:t xml:space="preserve">15. Entire Agreement</w:t>
      </w:r>
    </w:p>
    <w:p>
      <w:pPr>
        <w:pStyle w:val="ListParagraph"/>
        <w:numPr>
          <w:ilvl w:val="0"/>
          <w:numId w:val="1"/>
        </w:numPr>
        <w:spacing w:after="60"/>
      </w:pPr>
      <w:r>
        <w:rPr>
          <w:color w:val="26282E"/>
          <w:sz w:val="19"/>
          <w:szCs w:val="19"/>
        </w:rPr>
        <w:t xml:space="preserve">This Agreement, together with its Service Schedules, constitutes the entire agreement between the Parties regarding its subject matter and supersedes all prior discussions or agreements on that subject.</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10440"/>
            <w:shd w:fill="0B0F1A" w:color="auto" w:val="clear"/>
            <w:tcMar>
              <w:top w:type="dxa" w:w="260"/>
              <w:left w:type="dxa" w:w="260"/>
              <w:bottom w:type="dxa" w:w="260"/>
              <w:right w:type="dxa" w:w="260"/>
            </w:tcMar>
          </w:tcPr>
          <w:p>
            <w:r>
              <w:rPr>
                <w:b/>
                <w:bCs/>
                <w:color w:val="34E0C9"/>
                <w:spacing w:val="20"/>
                <w:sz w:val="20"/>
                <w:szCs w:val="20"/>
              </w:rPr>
              <w:t xml:space="preserve">PART 2</w:t>
            </w:r>
          </w:p>
          <w:p>
            <w:pPr>
              <w:spacing w:before="80"/>
            </w:pPr>
            <w:r>
              <w:rPr>
                <w:rFonts w:ascii="Georgia" w:cs="Georgia" w:eastAsia="Georgia" w:hAnsi="Georgia"/>
                <w:b/>
                <w:bCs/>
                <w:color w:val="FFFFFF"/>
                <w:sz w:val="32"/>
                <w:szCs w:val="32"/>
              </w:rPr>
              <w:t xml:space="preserve">Division-Specific Service Schedules</w:t>
            </w:r>
          </w:p>
        </w:tc>
      </w:tr>
    </w:tbl>
    <w:p>
      <w:pPr>
        <w:spacing w:after="100"/>
      </w:pP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10440"/>
            <w:shd w:fill="C9A15A" w:color="auto" w:val="clear"/>
            <w:tcMar>
              <w:top w:type="dxa" w:w="180"/>
              <w:left w:type="dxa" w:w="220"/>
              <w:bottom w:type="dxa" w:w="180"/>
              <w:right w:type="dxa" w:w="220"/>
            </w:tcMar>
          </w:tcPr>
          <w:p>
            <w:r>
              <w:rPr>
                <w:rFonts w:ascii="Georgia" w:cs="Georgia" w:eastAsia="Georgia" w:hAnsi="Georgia"/>
                <w:b/>
                <w:bCs/>
                <w:color w:val="FFFFFF"/>
                <w:sz w:val="24"/>
                <w:szCs w:val="24"/>
              </w:rPr>
              <w:t xml:space="preserve">SCHEDULE A — Z-GATE ADVISORY — TAX &amp; BUSINESS CONSULTING</w:t>
            </w:r>
          </w:p>
        </w:tc>
      </w:tr>
    </w:tbl>
    <w:p>
      <w:pPr>
        <w:pStyle w:val="Heading2"/>
        <w:spacing w:after="110" w:before="240"/>
      </w:pPr>
      <w:r>
        <w:rPr>
          <w:rFonts w:ascii="Georgia" w:cs="Georgia" w:eastAsia="Georgia" w:hAnsi="Georgia"/>
          <w:b/>
          <w:bCs/>
          <w:color w:val="C9A15A"/>
          <w:sz w:val="23"/>
          <w:szCs w:val="23"/>
        </w:rPr>
        <w:t xml:space="preserve">Scope of Services</w:t>
      </w:r>
    </w:p>
    <w:p>
      <w:pPr>
        <w:pStyle w:val="ListParagraph"/>
        <w:numPr>
          <w:ilvl w:val="0"/>
          <w:numId w:val="1"/>
        </w:numPr>
        <w:spacing w:after="60"/>
      </w:pPr>
      <w:r>
        <w:rPr>
          <w:color w:val="26282E"/>
          <w:sz w:val="19"/>
          <w:szCs w:val="19"/>
        </w:rPr>
        <w:t xml:space="preserve">Tax representation and advisory before the Rwanda Revenue Authority (RRA).</w:t>
      </w:r>
    </w:p>
    <w:p>
      <w:pPr>
        <w:pStyle w:val="ListParagraph"/>
        <w:numPr>
          <w:ilvl w:val="0"/>
          <w:numId w:val="1"/>
        </w:numPr>
        <w:spacing w:after="60"/>
      </w:pPr>
      <w:r>
        <w:rPr>
          <w:color w:val="26282E"/>
          <w:sz w:val="19"/>
          <w:szCs w:val="19"/>
        </w:rPr>
        <w:t xml:space="preserve">Preparation and filing of personal and business income tax returns.</w:t>
      </w:r>
    </w:p>
    <w:p>
      <w:pPr>
        <w:pStyle w:val="ListParagraph"/>
        <w:numPr>
          <w:ilvl w:val="0"/>
          <w:numId w:val="1"/>
        </w:numPr>
        <w:spacing w:after="60"/>
      </w:pPr>
      <w:r>
        <w:rPr>
          <w:color w:val="26282E"/>
          <w:sz w:val="19"/>
          <w:szCs w:val="19"/>
        </w:rPr>
        <w:t xml:space="preserve">EBM (Electronic Billing Machine) setup support and ongoing compliance monitoring.</w:t>
      </w:r>
    </w:p>
    <w:p>
      <w:pPr>
        <w:pStyle w:val="ListParagraph"/>
        <w:numPr>
          <w:ilvl w:val="0"/>
          <w:numId w:val="1"/>
        </w:numPr>
        <w:spacing w:after="60"/>
      </w:pPr>
      <w:r>
        <w:rPr>
          <w:color w:val="26282E"/>
          <w:sz w:val="19"/>
          <w:szCs w:val="19"/>
        </w:rPr>
        <w:t xml:space="preserve">Monthly bookkeeping and recording of commercial transactions.</w:t>
      </w:r>
    </w:p>
    <w:p>
      <w:pPr>
        <w:pStyle w:val="ListParagraph"/>
        <w:numPr>
          <w:ilvl w:val="0"/>
          <w:numId w:val="1"/>
        </w:numPr>
        <w:spacing w:after="60"/>
      </w:pPr>
      <w:r>
        <w:rPr>
          <w:color w:val="26282E"/>
          <w:sz w:val="19"/>
          <w:szCs w:val="19"/>
        </w:rPr>
        <w:t xml:space="preserve">Business and management advisory on request.</w:t>
      </w:r>
    </w:p>
    <w:p>
      <w:pPr>
        <w:pStyle w:val="Heading2"/>
        <w:spacing w:after="110" w:before="240"/>
      </w:pPr>
      <w:r>
        <w:rPr>
          <w:rFonts w:ascii="Georgia" w:cs="Georgia" w:eastAsia="Georgia" w:hAnsi="Georgia"/>
          <w:b/>
          <w:bCs/>
          <w:color w:val="C9A15A"/>
          <w:sz w:val="23"/>
          <w:szCs w:val="23"/>
        </w:rPr>
        <w:t xml:space="preserve">Service Level Metrics</w:t>
      </w:r>
    </w:p>
    <w:tbl>
      <w:tblPr>
        <w:tblW w:type="dxa" w:w="10440"/>
        <w:tblBorders>
          <w:top w:val="single" w:color="C9CCD6" w:sz="4"/>
          <w:left w:val="single" w:color="C9CCD6" w:sz="4"/>
          <w:bottom w:val="single" w:color="C9CCD6" w:sz="4"/>
          <w:right w:val="single" w:color="C9CCD6" w:sz="4"/>
          <w:insideH w:val="single" w:color="auto" w:sz="4"/>
          <w:insideV w:val="single" w:color="auto" w:sz="4"/>
        </w:tblBorders>
        <w:tblLayout w:type="fixed"/>
      </w:tblPr>
      <w:tblGrid>
        <w:gridCol w:w="100"/>
        <w:gridCol w:w="100"/>
        <w:gridCol w:w="100"/>
      </w:tblGrid>
      <w:tr>
        <w:tc>
          <w:tcPr>
            <w:tcW w:type="dxa" w:w="3132"/>
            <w:tcBorders>
              <w:top w:val="single" w:color="D9D9D9" w:sz="4"/>
              <w:left w:val="single" w:color="D9D9D9" w:sz="4"/>
              <w:bottom w:val="single" w:color="D9D9D9" w:sz="4"/>
              <w:right w:val="single" w:color="D9D9D9" w:sz="4"/>
            </w:tcBorders>
            <w:shd w:fill="0B0F1A" w:color="auto" w:val="clear"/>
            <w:tcMar>
              <w:top w:type="dxa" w:w="90"/>
              <w:left w:type="dxa" w:w="120"/>
              <w:bottom w:type="dxa" w:w="90"/>
              <w:right w:type="dxa" w:w="120"/>
            </w:tcMar>
            <w:vAlign w:val="center"/>
          </w:tcPr>
          <w:p>
            <w:pPr>
              <w:jc w:val="left"/>
            </w:pPr>
            <w:r>
              <w:rPr>
                <w:rFonts w:ascii="Inter" w:cs="Inter" w:eastAsia="Inter" w:hAnsi="Inter"/>
                <w:b/>
                <w:bCs/>
                <w:i w:val="false"/>
                <w:iCs w:val="false"/>
                <w:color w:val="FFFFFF"/>
                <w:sz w:val="18"/>
                <w:szCs w:val="18"/>
              </w:rPr>
              <w:t xml:space="preserve">Service Area</w:t>
            </w:r>
          </w:p>
        </w:tc>
        <w:tc>
          <w:tcPr>
            <w:tcW w:type="dxa" w:w="3132"/>
            <w:tcBorders>
              <w:top w:val="single" w:color="D9D9D9" w:sz="4"/>
              <w:left w:val="single" w:color="D9D9D9" w:sz="4"/>
              <w:bottom w:val="single" w:color="D9D9D9" w:sz="4"/>
              <w:right w:val="single" w:color="D9D9D9" w:sz="4"/>
            </w:tcBorders>
            <w:shd w:fill="0B0F1A" w:color="auto" w:val="clear"/>
            <w:tcMar>
              <w:top w:type="dxa" w:w="90"/>
              <w:left w:type="dxa" w:w="120"/>
              <w:bottom w:type="dxa" w:w="90"/>
              <w:right w:type="dxa" w:w="120"/>
            </w:tcMar>
            <w:vAlign w:val="center"/>
          </w:tcPr>
          <w:p>
            <w:pPr>
              <w:jc w:val="left"/>
            </w:pPr>
            <w:r>
              <w:rPr>
                <w:rFonts w:ascii="Inter" w:cs="Inter" w:eastAsia="Inter" w:hAnsi="Inter"/>
                <w:b/>
                <w:bCs/>
                <w:i w:val="false"/>
                <w:iCs w:val="false"/>
                <w:color w:val="FFFFFF"/>
                <w:sz w:val="18"/>
                <w:szCs w:val="18"/>
              </w:rPr>
              <w:t xml:space="preserve">Target</w:t>
            </w:r>
          </w:p>
        </w:tc>
        <w:tc>
          <w:tcPr>
            <w:tcW w:type="dxa" w:w="4176"/>
            <w:tcBorders>
              <w:top w:val="single" w:color="D9D9D9" w:sz="4"/>
              <w:left w:val="single" w:color="D9D9D9" w:sz="4"/>
              <w:bottom w:val="single" w:color="D9D9D9" w:sz="4"/>
              <w:right w:val="single" w:color="D9D9D9" w:sz="4"/>
            </w:tcBorders>
            <w:shd w:fill="0B0F1A" w:color="auto" w:val="clear"/>
            <w:tcMar>
              <w:top w:type="dxa" w:w="90"/>
              <w:left w:type="dxa" w:w="120"/>
              <w:bottom w:type="dxa" w:w="90"/>
              <w:right w:type="dxa" w:w="120"/>
            </w:tcMar>
            <w:vAlign w:val="center"/>
          </w:tcPr>
          <w:p>
            <w:pPr>
              <w:jc w:val="left"/>
            </w:pPr>
            <w:r>
              <w:rPr>
                <w:rFonts w:ascii="Inter" w:cs="Inter" w:eastAsia="Inter" w:hAnsi="Inter"/>
                <w:b/>
                <w:bCs/>
                <w:i w:val="false"/>
                <w:iCs w:val="false"/>
                <w:color w:val="FFFFFF"/>
                <w:sz w:val="18"/>
                <w:szCs w:val="18"/>
              </w:rPr>
              <w:t xml:space="preserve">Response / Turnaround</w:t>
            </w:r>
          </w:p>
        </w:tc>
      </w:tr>
      <w:tr>
        <w:tc>
          <w:tcPr>
            <w:tcW w:type="dxa" w:w="3132"/>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i w:val="false"/>
                <w:iCs w:val="false"/>
                <w:color w:val="0B0F1A"/>
                <w:sz w:val="17"/>
                <w:szCs w:val="17"/>
              </w:rPr>
              <w:t xml:space="preserve">Routine query (WhatsApp/email)</w:t>
            </w:r>
          </w:p>
        </w:tc>
        <w:tc>
          <w:tcPr>
            <w:tcW w:type="dxa" w:w="3132"/>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i w:val="false"/>
                <w:iCs w:val="false"/>
                <w:color w:val="0B0F1A"/>
                <w:sz w:val="17"/>
                <w:szCs w:val="17"/>
              </w:rPr>
              <w:t xml:space="preserve">Acknowledged same day</w:t>
            </w:r>
          </w:p>
        </w:tc>
        <w:tc>
          <w:tcPr>
            <w:tcW w:type="dxa" w:w="4176"/>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i w:val="false"/>
                <w:iCs w:val="false"/>
                <w:color w:val="0B0F1A"/>
                <w:sz w:val="17"/>
                <w:szCs w:val="17"/>
              </w:rPr>
              <w:t xml:space="preserve">Within 1 Business Day</w:t>
            </w:r>
          </w:p>
        </w:tc>
      </w:tr>
      <w:tr>
        <w:tc>
          <w:tcPr>
            <w:tcW w:type="dxa" w:w="3132"/>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i w:val="false"/>
                <w:iCs w:val="false"/>
                <w:color w:val="0B0F1A"/>
                <w:sz w:val="17"/>
                <w:szCs w:val="17"/>
              </w:rPr>
              <w:t xml:space="preserve">Monthly bookkeeping close-out</w:t>
            </w:r>
          </w:p>
        </w:tc>
        <w:tc>
          <w:tcPr>
            <w:tcW w:type="dxa" w:w="3132"/>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i w:val="false"/>
                <w:iCs w:val="false"/>
                <w:color w:val="0B0F1A"/>
                <w:sz w:val="17"/>
                <w:szCs w:val="17"/>
              </w:rPr>
              <w:t xml:space="preserve">Books closed and reconciled</w:t>
            </w:r>
          </w:p>
        </w:tc>
        <w:tc>
          <w:tcPr>
            <w:tcW w:type="dxa" w:w="4176"/>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i w:val="false"/>
                <w:iCs w:val="false"/>
                <w:color w:val="0B0F1A"/>
                <w:sz w:val="17"/>
                <w:szCs w:val="17"/>
              </w:rPr>
              <w:t xml:space="preserve">By the 5th Business Day of the following month</w:t>
            </w:r>
          </w:p>
        </w:tc>
      </w:tr>
      <w:tr>
        <w:tc>
          <w:tcPr>
            <w:tcW w:type="dxa" w:w="3132"/>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i w:val="false"/>
                <w:iCs w:val="false"/>
                <w:color w:val="0B0F1A"/>
                <w:sz w:val="17"/>
                <w:szCs w:val="17"/>
              </w:rPr>
              <w:t xml:space="preserve">VAT / EBM filing</w:t>
            </w:r>
          </w:p>
        </w:tc>
        <w:tc>
          <w:tcPr>
            <w:tcW w:type="dxa" w:w="3132"/>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i w:val="false"/>
                <w:iCs w:val="false"/>
                <w:color w:val="0B0F1A"/>
                <w:sz w:val="17"/>
                <w:szCs w:val="17"/>
              </w:rPr>
              <w:t xml:space="preserve">Filed ahead of RRA deadline</w:t>
            </w:r>
          </w:p>
        </w:tc>
        <w:tc>
          <w:tcPr>
            <w:tcW w:type="dxa" w:w="4176"/>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i w:val="false"/>
                <w:iCs w:val="false"/>
                <w:color w:val="0B0F1A"/>
                <w:sz w:val="17"/>
                <w:szCs w:val="17"/>
              </w:rPr>
              <w:t xml:space="preserve">At least 2 Business Days before the statutory deadline</w:t>
            </w:r>
          </w:p>
        </w:tc>
      </w:tr>
      <w:tr>
        <w:tc>
          <w:tcPr>
            <w:tcW w:type="dxa" w:w="3132"/>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i w:val="false"/>
                <w:iCs w:val="false"/>
                <w:color w:val="0B0F1A"/>
                <w:sz w:val="17"/>
                <w:szCs w:val="17"/>
              </w:rPr>
              <w:t xml:space="preserve">Annual income tax return</w:t>
            </w:r>
          </w:p>
        </w:tc>
        <w:tc>
          <w:tcPr>
            <w:tcW w:type="dxa" w:w="3132"/>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i w:val="false"/>
                <w:iCs w:val="false"/>
                <w:color w:val="0B0F1A"/>
                <w:sz w:val="17"/>
                <w:szCs w:val="17"/>
              </w:rPr>
              <w:t xml:space="preserve">Filed within statutory window</w:t>
            </w:r>
          </w:p>
        </w:tc>
        <w:tc>
          <w:tcPr>
            <w:tcW w:type="dxa" w:w="4176"/>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i w:val="false"/>
                <w:iCs w:val="false"/>
                <w:color w:val="0B0F1A"/>
                <w:sz w:val="17"/>
                <w:szCs w:val="17"/>
              </w:rPr>
              <w:t xml:space="preserve">100% on-time filing target, Jan–Mar</w:t>
            </w:r>
          </w:p>
        </w:tc>
      </w:tr>
      <w:tr>
        <w:tc>
          <w:tcPr>
            <w:tcW w:type="dxa" w:w="3132"/>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i w:val="false"/>
                <w:iCs w:val="false"/>
                <w:color w:val="0B0F1A"/>
                <w:sz w:val="17"/>
                <w:szCs w:val="17"/>
              </w:rPr>
              <w:t xml:space="preserve">Urgent compliance issue (e.g., EBM failure)</w:t>
            </w:r>
          </w:p>
        </w:tc>
        <w:tc>
          <w:tcPr>
            <w:tcW w:type="dxa" w:w="3132"/>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i w:val="false"/>
                <w:iCs w:val="false"/>
                <w:color w:val="0B0F1A"/>
                <w:sz w:val="17"/>
                <w:szCs w:val="17"/>
              </w:rPr>
              <w:t xml:space="preserve">First response</w:t>
            </w:r>
          </w:p>
        </w:tc>
        <w:tc>
          <w:tcPr>
            <w:tcW w:type="dxa" w:w="4176"/>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i w:val="false"/>
                <w:iCs w:val="false"/>
                <w:color w:val="0B0F1A"/>
                <w:sz w:val="17"/>
                <w:szCs w:val="17"/>
              </w:rPr>
              <w:t xml:space="preserve">Within 4 business hours</w:t>
            </w:r>
          </w:p>
        </w:tc>
      </w:tr>
    </w:tbl>
    <w:p>
      <w:pPr>
        <w:pStyle w:val="Heading2"/>
        <w:spacing w:after="110" w:before="240"/>
      </w:pPr>
      <w:r>
        <w:rPr>
          <w:rFonts w:ascii="Georgia" w:cs="Georgia" w:eastAsia="Georgia" w:hAnsi="Georgia"/>
          <w:b/>
          <w:bCs/>
          <w:color w:val="C9A15A"/>
          <w:sz w:val="23"/>
          <w:szCs w:val="23"/>
        </w:rPr>
        <w:t xml:space="preserve">Deliverables</w:t>
      </w:r>
    </w:p>
    <w:p>
      <w:pPr>
        <w:pStyle w:val="ListParagraph"/>
        <w:numPr>
          <w:ilvl w:val="0"/>
          <w:numId w:val="1"/>
        </w:numPr>
        <w:spacing w:after="60"/>
      </w:pPr>
      <w:r>
        <w:rPr>
          <w:color w:val="26282E"/>
          <w:sz w:val="19"/>
          <w:szCs w:val="19"/>
        </w:rPr>
        <w:t xml:space="preserve">Monthly bookkeeping report and reconciled ledger.</w:t>
      </w:r>
    </w:p>
    <w:p>
      <w:pPr>
        <w:pStyle w:val="ListParagraph"/>
        <w:numPr>
          <w:ilvl w:val="0"/>
          <w:numId w:val="1"/>
        </w:numPr>
        <w:spacing w:after="60"/>
      </w:pPr>
      <w:r>
        <w:rPr>
          <w:color w:val="26282E"/>
          <w:sz w:val="19"/>
          <w:szCs w:val="19"/>
        </w:rPr>
        <w:t xml:space="preserve">Filed copies of all statutory returns, with RRA acknowledgment.</w:t>
      </w:r>
    </w:p>
    <w:p>
      <w:pPr>
        <w:pStyle w:val="ListParagraph"/>
        <w:numPr>
          <w:ilvl w:val="0"/>
          <w:numId w:val="1"/>
        </w:numPr>
        <w:spacing w:after="60"/>
      </w:pPr>
      <w:r>
        <w:rPr>
          <w:color w:val="26282E"/>
          <w:sz w:val="19"/>
          <w:szCs w:val="19"/>
        </w:rPr>
        <w:t xml:space="preserve">Quarterly compliance calendar update.</w:t>
      </w:r>
    </w:p>
    <w:p>
      <w:pPr>
        <w:pStyle w:val="Heading2"/>
        <w:spacing w:after="110" w:before="240"/>
      </w:pPr>
      <w:r>
        <w:rPr>
          <w:rFonts w:ascii="Georgia" w:cs="Georgia" w:eastAsia="Georgia" w:hAnsi="Georgia"/>
          <w:b/>
          <w:bCs/>
          <w:color w:val="C9A15A"/>
          <w:sz w:val="23"/>
          <w:szCs w:val="23"/>
        </w:rPr>
        <w:t xml:space="preserve">Fees</w:t>
      </w:r>
    </w:p>
    <w:p>
      <w:pPr>
        <w:spacing w:after="200"/>
      </w:pPr>
      <w:r>
        <w:rPr>
          <w:b/>
          <w:bCs/>
          <w:color w:val="0B0F1A"/>
          <w:sz w:val="19"/>
          <w:szCs w:val="19"/>
        </w:rPr>
        <w:t xml:space="preserve">Monthly retainer fee (RWF): </w:t>
      </w:r>
      <w:r>
        <w:rPr>
          <w:color w:val="6B7280"/>
          <w:sz w:val="19"/>
          <w:szCs w:val="19"/>
        </w:rPr>
        <w:t xml:space="preserve">______________________________</w:t>
      </w:r>
    </w:p>
    <w:p>
      <w:pPr>
        <w:spacing w:after="200"/>
      </w:pPr>
      <w:r>
        <w:rPr>
          <w:b/>
          <w:bCs/>
          <w:color w:val="0B0F1A"/>
          <w:sz w:val="19"/>
          <w:szCs w:val="19"/>
        </w:rPr>
        <w:t xml:space="preserve">Billing frequency: </w:t>
      </w:r>
      <w:r>
        <w:rPr>
          <w:color w:val="6B7280"/>
          <w:sz w:val="19"/>
          <w:szCs w:val="19"/>
        </w:rPr>
        <w:t xml:space="preserve">____________________</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10440"/>
            <w:shd w:fill="3FAE7A" w:color="auto" w:val="clear"/>
            <w:tcMar>
              <w:top w:type="dxa" w:w="180"/>
              <w:left w:type="dxa" w:w="220"/>
              <w:bottom w:type="dxa" w:w="180"/>
              <w:right w:type="dxa" w:w="220"/>
            </w:tcMar>
          </w:tcPr>
          <w:p>
            <w:r>
              <w:rPr>
                <w:rFonts w:ascii="Georgia" w:cs="Georgia" w:eastAsia="Georgia" w:hAnsi="Georgia"/>
                <w:b/>
                <w:bCs/>
                <w:color w:val="FFFFFF"/>
                <w:sz w:val="24"/>
                <w:szCs w:val="24"/>
              </w:rPr>
              <w:t xml:space="preserve">SCHEDULE B — Z-GATE ACADEMY — PROFESSIONAL TRAINING</w:t>
            </w:r>
          </w:p>
        </w:tc>
      </w:tr>
    </w:tbl>
    <w:p>
      <w:pPr>
        <w:pStyle w:val="Heading2"/>
        <w:spacing w:after="110" w:before="240"/>
      </w:pPr>
      <w:r>
        <w:rPr>
          <w:rFonts w:ascii="Georgia" w:cs="Georgia" w:eastAsia="Georgia" w:hAnsi="Georgia"/>
          <w:b/>
          <w:bCs/>
          <w:color w:val="3FAE7A"/>
          <w:sz w:val="23"/>
          <w:szCs w:val="23"/>
        </w:rPr>
        <w:t xml:space="preserve">Scope of Services</w:t>
      </w:r>
    </w:p>
    <w:p>
      <w:pPr>
        <w:pStyle w:val="ListParagraph"/>
        <w:numPr>
          <w:ilvl w:val="0"/>
          <w:numId w:val="1"/>
        </w:numPr>
        <w:spacing w:after="60"/>
      </w:pPr>
      <w:r>
        <w:rPr>
          <w:color w:val="26282E"/>
          <w:sz w:val="19"/>
          <w:szCs w:val="19"/>
        </w:rPr>
        <w:t xml:space="preserve">Delivery of the agreed course(s) per the published curriculum and schedule.</w:t>
      </w:r>
    </w:p>
    <w:p>
      <w:pPr>
        <w:pStyle w:val="ListParagraph"/>
        <w:numPr>
          <w:ilvl w:val="0"/>
          <w:numId w:val="1"/>
        </w:numPr>
        <w:spacing w:after="60"/>
      </w:pPr>
      <w:r>
        <w:rPr>
          <w:color w:val="26282E"/>
          <w:sz w:val="19"/>
          <w:szCs w:val="19"/>
        </w:rPr>
        <w:t xml:space="preserve">Learner enrollment, attendance tracking, and progress assessment.</w:t>
      </w:r>
    </w:p>
    <w:p>
      <w:pPr>
        <w:pStyle w:val="ListParagraph"/>
        <w:numPr>
          <w:ilvl w:val="0"/>
          <w:numId w:val="1"/>
        </w:numPr>
        <w:spacing w:after="60"/>
      </w:pPr>
      <w:r>
        <w:rPr>
          <w:color w:val="26282E"/>
          <w:sz w:val="19"/>
          <w:szCs w:val="19"/>
        </w:rPr>
        <w:t xml:space="preserve">Certificate issuance on successful course completion.</w:t>
      </w:r>
    </w:p>
    <w:p>
      <w:pPr>
        <w:pStyle w:val="Heading2"/>
        <w:spacing w:after="110" w:before="240"/>
      </w:pPr>
      <w:r>
        <w:rPr>
          <w:rFonts w:ascii="Georgia" w:cs="Georgia" w:eastAsia="Georgia" w:hAnsi="Georgia"/>
          <w:b/>
          <w:bCs/>
          <w:color w:val="3FAE7A"/>
          <w:sz w:val="23"/>
          <w:szCs w:val="23"/>
        </w:rPr>
        <w:t xml:space="preserve">Service Level Metrics</w:t>
      </w:r>
    </w:p>
    <w:tbl>
      <w:tblPr>
        <w:tblW w:type="dxa" w:w="10440"/>
        <w:tblBorders>
          <w:top w:val="single" w:color="C9CCD6" w:sz="4"/>
          <w:left w:val="single" w:color="C9CCD6" w:sz="4"/>
          <w:bottom w:val="single" w:color="C9CCD6" w:sz="4"/>
          <w:right w:val="single" w:color="C9CCD6" w:sz="4"/>
          <w:insideH w:val="single" w:color="auto" w:sz="4"/>
          <w:insideV w:val="single" w:color="auto" w:sz="4"/>
        </w:tblBorders>
        <w:tblLayout w:type="fixed"/>
      </w:tblPr>
      <w:tblGrid>
        <w:gridCol w:w="100"/>
        <w:gridCol w:w="100"/>
        <w:gridCol w:w="100"/>
      </w:tblGrid>
      <w:tr>
        <w:tc>
          <w:tcPr>
            <w:tcW w:type="dxa" w:w="3132"/>
            <w:tcBorders>
              <w:top w:val="single" w:color="D9D9D9" w:sz="4"/>
              <w:left w:val="single" w:color="D9D9D9" w:sz="4"/>
              <w:bottom w:val="single" w:color="D9D9D9" w:sz="4"/>
              <w:right w:val="single" w:color="D9D9D9" w:sz="4"/>
            </w:tcBorders>
            <w:shd w:fill="0B0F1A" w:color="auto" w:val="clear"/>
            <w:tcMar>
              <w:top w:type="dxa" w:w="90"/>
              <w:left w:type="dxa" w:w="120"/>
              <w:bottom w:type="dxa" w:w="90"/>
              <w:right w:type="dxa" w:w="120"/>
            </w:tcMar>
            <w:vAlign w:val="center"/>
          </w:tcPr>
          <w:p>
            <w:pPr>
              <w:jc w:val="left"/>
            </w:pPr>
            <w:r>
              <w:rPr>
                <w:rFonts w:ascii="Inter" w:cs="Inter" w:eastAsia="Inter" w:hAnsi="Inter"/>
                <w:b/>
                <w:bCs/>
                <w:i w:val="false"/>
                <w:iCs w:val="false"/>
                <w:color w:val="FFFFFF"/>
                <w:sz w:val="18"/>
                <w:szCs w:val="18"/>
              </w:rPr>
              <w:t xml:space="preserve">Service Area</w:t>
            </w:r>
          </w:p>
        </w:tc>
        <w:tc>
          <w:tcPr>
            <w:tcW w:type="dxa" w:w="3132"/>
            <w:tcBorders>
              <w:top w:val="single" w:color="D9D9D9" w:sz="4"/>
              <w:left w:val="single" w:color="D9D9D9" w:sz="4"/>
              <w:bottom w:val="single" w:color="D9D9D9" w:sz="4"/>
              <w:right w:val="single" w:color="D9D9D9" w:sz="4"/>
            </w:tcBorders>
            <w:shd w:fill="0B0F1A" w:color="auto" w:val="clear"/>
            <w:tcMar>
              <w:top w:type="dxa" w:w="90"/>
              <w:left w:type="dxa" w:w="120"/>
              <w:bottom w:type="dxa" w:w="90"/>
              <w:right w:type="dxa" w:w="120"/>
            </w:tcMar>
            <w:vAlign w:val="center"/>
          </w:tcPr>
          <w:p>
            <w:pPr>
              <w:jc w:val="left"/>
            </w:pPr>
            <w:r>
              <w:rPr>
                <w:rFonts w:ascii="Inter" w:cs="Inter" w:eastAsia="Inter" w:hAnsi="Inter"/>
                <w:b/>
                <w:bCs/>
                <w:i w:val="false"/>
                <w:iCs w:val="false"/>
                <w:color w:val="FFFFFF"/>
                <w:sz w:val="18"/>
                <w:szCs w:val="18"/>
              </w:rPr>
              <w:t xml:space="preserve">Target</w:t>
            </w:r>
          </w:p>
        </w:tc>
        <w:tc>
          <w:tcPr>
            <w:tcW w:type="dxa" w:w="4176"/>
            <w:tcBorders>
              <w:top w:val="single" w:color="D9D9D9" w:sz="4"/>
              <w:left w:val="single" w:color="D9D9D9" w:sz="4"/>
              <w:bottom w:val="single" w:color="D9D9D9" w:sz="4"/>
              <w:right w:val="single" w:color="D9D9D9" w:sz="4"/>
            </w:tcBorders>
            <w:shd w:fill="0B0F1A" w:color="auto" w:val="clear"/>
            <w:tcMar>
              <w:top w:type="dxa" w:w="90"/>
              <w:left w:type="dxa" w:w="120"/>
              <w:bottom w:type="dxa" w:w="90"/>
              <w:right w:type="dxa" w:w="120"/>
            </w:tcMar>
            <w:vAlign w:val="center"/>
          </w:tcPr>
          <w:p>
            <w:pPr>
              <w:jc w:val="left"/>
            </w:pPr>
            <w:r>
              <w:rPr>
                <w:rFonts w:ascii="Inter" w:cs="Inter" w:eastAsia="Inter" w:hAnsi="Inter"/>
                <w:b/>
                <w:bCs/>
                <w:i w:val="false"/>
                <w:iCs w:val="false"/>
                <w:color w:val="FFFFFF"/>
                <w:sz w:val="18"/>
                <w:szCs w:val="18"/>
              </w:rPr>
              <w:t xml:space="preserve">Response / Turnaround</w:t>
            </w:r>
          </w:p>
        </w:tc>
      </w:tr>
      <w:tr>
        <w:tc>
          <w:tcPr>
            <w:tcW w:type="dxa" w:w="3132"/>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i w:val="false"/>
                <w:iCs w:val="false"/>
                <w:color w:val="0B0F1A"/>
                <w:sz w:val="17"/>
                <w:szCs w:val="17"/>
              </w:rPr>
              <w:t xml:space="preserve">Enrollment confirmation</w:t>
            </w:r>
          </w:p>
        </w:tc>
        <w:tc>
          <w:tcPr>
            <w:tcW w:type="dxa" w:w="3132"/>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i w:val="false"/>
                <w:iCs w:val="false"/>
                <w:color w:val="0B0F1A"/>
                <w:sz w:val="17"/>
                <w:szCs w:val="17"/>
              </w:rPr>
              <w:t xml:space="preserve">Confirmed with joining details</w:t>
            </w:r>
          </w:p>
        </w:tc>
        <w:tc>
          <w:tcPr>
            <w:tcW w:type="dxa" w:w="4176"/>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i w:val="false"/>
                <w:iCs w:val="false"/>
                <w:color w:val="0B0F1A"/>
                <w:sz w:val="17"/>
                <w:szCs w:val="17"/>
              </w:rPr>
              <w:t xml:space="preserve">Within 2 Business Days of registration</w:t>
            </w:r>
          </w:p>
        </w:tc>
      </w:tr>
      <w:tr>
        <w:tc>
          <w:tcPr>
            <w:tcW w:type="dxa" w:w="3132"/>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i w:val="false"/>
                <w:iCs w:val="false"/>
                <w:color w:val="0B0F1A"/>
                <w:sz w:val="17"/>
                <w:szCs w:val="17"/>
              </w:rPr>
              <w:t xml:space="preserve">Course delivery</w:t>
            </w:r>
          </w:p>
        </w:tc>
        <w:tc>
          <w:tcPr>
            <w:tcW w:type="dxa" w:w="3132"/>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i w:val="false"/>
                <w:iCs w:val="false"/>
                <w:color w:val="0B0F1A"/>
                <w:sz w:val="17"/>
                <w:szCs w:val="17"/>
              </w:rPr>
              <w:t xml:space="preserve">Sessions delivered per schedule</w:t>
            </w:r>
          </w:p>
        </w:tc>
        <w:tc>
          <w:tcPr>
            <w:tcW w:type="dxa" w:w="4176"/>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i w:val="false"/>
                <w:iCs w:val="false"/>
                <w:color w:val="0B0F1A"/>
                <w:sz w:val="17"/>
                <w:szCs w:val="17"/>
              </w:rPr>
              <w:t xml:space="preserve">Minimum 90% session completion rate</w:t>
            </w:r>
          </w:p>
        </w:tc>
      </w:tr>
      <w:tr>
        <w:tc>
          <w:tcPr>
            <w:tcW w:type="dxa" w:w="3132"/>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i w:val="false"/>
                <w:iCs w:val="false"/>
                <w:color w:val="0B0F1A"/>
                <w:sz w:val="17"/>
                <w:szCs w:val="17"/>
              </w:rPr>
              <w:t xml:space="preserve">Certificate issuance</w:t>
            </w:r>
          </w:p>
        </w:tc>
        <w:tc>
          <w:tcPr>
            <w:tcW w:type="dxa" w:w="3132"/>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i w:val="false"/>
                <w:iCs w:val="false"/>
                <w:color w:val="0B0F1A"/>
                <w:sz w:val="17"/>
                <w:szCs w:val="17"/>
              </w:rPr>
              <w:t xml:space="preserve">Certificate delivered</w:t>
            </w:r>
          </w:p>
        </w:tc>
        <w:tc>
          <w:tcPr>
            <w:tcW w:type="dxa" w:w="4176"/>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i w:val="false"/>
                <w:iCs w:val="false"/>
                <w:color w:val="0B0F1A"/>
                <w:sz w:val="17"/>
                <w:szCs w:val="17"/>
              </w:rPr>
              <w:t xml:space="preserve">Within 5 Business Days of course completion</w:t>
            </w:r>
          </w:p>
        </w:tc>
      </w:tr>
      <w:tr>
        <w:tc>
          <w:tcPr>
            <w:tcW w:type="dxa" w:w="3132"/>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i w:val="false"/>
                <w:iCs w:val="false"/>
                <w:color w:val="0B0F1A"/>
                <w:sz w:val="17"/>
                <w:szCs w:val="17"/>
              </w:rPr>
              <w:t xml:space="preserve">Learner support query</w:t>
            </w:r>
          </w:p>
        </w:tc>
        <w:tc>
          <w:tcPr>
            <w:tcW w:type="dxa" w:w="3132"/>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i w:val="false"/>
                <w:iCs w:val="false"/>
                <w:color w:val="0B0F1A"/>
                <w:sz w:val="17"/>
                <w:szCs w:val="17"/>
              </w:rPr>
              <w:t xml:space="preserve">First response</w:t>
            </w:r>
          </w:p>
        </w:tc>
        <w:tc>
          <w:tcPr>
            <w:tcW w:type="dxa" w:w="4176"/>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i w:val="false"/>
                <w:iCs w:val="false"/>
                <w:color w:val="0B0F1A"/>
                <w:sz w:val="17"/>
                <w:szCs w:val="17"/>
              </w:rPr>
              <w:t xml:space="preserve">Within 1 Business Day</w:t>
            </w:r>
          </w:p>
        </w:tc>
      </w:tr>
    </w:tbl>
    <w:p>
      <w:pPr>
        <w:pStyle w:val="Heading2"/>
        <w:spacing w:after="110" w:before="240"/>
      </w:pPr>
      <w:r>
        <w:rPr>
          <w:rFonts w:ascii="Georgia" w:cs="Georgia" w:eastAsia="Georgia" w:hAnsi="Georgia"/>
          <w:b/>
          <w:bCs/>
          <w:color w:val="3FAE7A"/>
          <w:sz w:val="23"/>
          <w:szCs w:val="23"/>
        </w:rPr>
        <w:t xml:space="preserve">Deliverables</w:t>
      </w:r>
    </w:p>
    <w:p>
      <w:pPr>
        <w:pStyle w:val="ListParagraph"/>
        <w:numPr>
          <w:ilvl w:val="0"/>
          <w:numId w:val="1"/>
        </w:numPr>
        <w:spacing w:after="60"/>
      </w:pPr>
      <w:r>
        <w:rPr>
          <w:color w:val="26282E"/>
          <w:sz w:val="19"/>
          <w:szCs w:val="19"/>
        </w:rPr>
        <w:t xml:space="preserve">Course completion certificate naming the learner and course.</w:t>
      </w:r>
    </w:p>
    <w:p>
      <w:pPr>
        <w:pStyle w:val="ListParagraph"/>
        <w:numPr>
          <w:ilvl w:val="0"/>
          <w:numId w:val="1"/>
        </w:numPr>
        <w:spacing w:after="60"/>
      </w:pPr>
      <w:r>
        <w:rPr>
          <w:color w:val="26282E"/>
          <w:sz w:val="19"/>
          <w:szCs w:val="19"/>
        </w:rPr>
        <w:t xml:space="preserve">End-of-cohort summary report for corporate clients (attendance and assessment results).</w:t>
      </w:r>
    </w:p>
    <w:p>
      <w:pPr>
        <w:pStyle w:val="Heading2"/>
        <w:spacing w:after="110" w:before="240"/>
      </w:pPr>
      <w:r>
        <w:rPr>
          <w:rFonts w:ascii="Georgia" w:cs="Georgia" w:eastAsia="Georgia" w:hAnsi="Georgia"/>
          <w:b/>
          <w:bCs/>
          <w:color w:val="3FAE7A"/>
          <w:sz w:val="23"/>
          <w:szCs w:val="23"/>
        </w:rPr>
        <w:t xml:space="preserve">Fees</w:t>
      </w:r>
    </w:p>
    <w:p>
      <w:pPr>
        <w:spacing w:after="200"/>
      </w:pPr>
      <w:r>
        <w:rPr>
          <w:b/>
          <w:bCs/>
          <w:color w:val="0B0F1A"/>
          <w:sz w:val="19"/>
          <w:szCs w:val="19"/>
        </w:rPr>
        <w:t xml:space="preserve">Course fee per learner (RWF): </w:t>
      </w:r>
      <w:r>
        <w:rPr>
          <w:color w:val="6B7280"/>
          <w:sz w:val="19"/>
          <w:szCs w:val="19"/>
        </w:rPr>
        <w:t xml:space="preserve">______________________________</w:t>
      </w:r>
    </w:p>
    <w:p>
      <w:pPr>
        <w:spacing w:after="200"/>
      </w:pPr>
      <w:r>
        <w:rPr>
          <w:b/>
          <w:bCs/>
          <w:color w:val="0B0F1A"/>
          <w:sz w:val="19"/>
          <w:szCs w:val="19"/>
        </w:rPr>
        <w:t xml:space="preserve">Cohort start date: </w:t>
      </w:r>
      <w:r>
        <w:rPr>
          <w:color w:val="6B7280"/>
          <w:sz w:val="19"/>
          <w:szCs w:val="19"/>
        </w:rPr>
        <w:t xml:space="preserve">____________________</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10440"/>
            <w:shd w:fill="3F8CFA" w:color="auto" w:val="clear"/>
            <w:tcMar>
              <w:top w:type="dxa" w:w="180"/>
              <w:left w:type="dxa" w:w="220"/>
              <w:bottom w:type="dxa" w:w="180"/>
              <w:right w:type="dxa" w:w="220"/>
            </w:tcMar>
          </w:tcPr>
          <w:p>
            <w:r>
              <w:rPr>
                <w:rFonts w:ascii="Georgia" w:cs="Georgia" w:eastAsia="Georgia" w:hAnsi="Georgia"/>
                <w:b/>
                <w:bCs/>
                <w:color w:val="FFFFFF"/>
                <w:sz w:val="24"/>
                <w:szCs w:val="24"/>
              </w:rPr>
              <w:t xml:space="preserve">SCHEDULE C — Z-GATE TECH — TECHNOLOGY SOLUTIONS</w:t>
            </w:r>
          </w:p>
        </w:tc>
      </w:tr>
    </w:tbl>
    <w:p>
      <w:pPr>
        <w:pStyle w:val="Heading2"/>
        <w:spacing w:after="110" w:before="240"/>
      </w:pPr>
      <w:r>
        <w:rPr>
          <w:rFonts w:ascii="Georgia" w:cs="Georgia" w:eastAsia="Georgia" w:hAnsi="Georgia"/>
          <w:b/>
          <w:bCs/>
          <w:color w:val="3F8CFA"/>
          <w:sz w:val="23"/>
          <w:szCs w:val="23"/>
        </w:rPr>
        <w:t xml:space="preserve">Scope of Services</w:t>
      </w:r>
    </w:p>
    <w:p>
      <w:pPr>
        <w:pStyle w:val="ListParagraph"/>
        <w:numPr>
          <w:ilvl w:val="0"/>
          <w:numId w:val="1"/>
        </w:numPr>
        <w:spacing w:after="60"/>
      </w:pPr>
      <w:r>
        <w:rPr>
          <w:color w:val="26282E"/>
          <w:sz w:val="19"/>
          <w:szCs w:val="19"/>
        </w:rPr>
        <w:t xml:space="preserve">Design, development, and maintenance of software, systems, or web applications per the agreed project brief.</w:t>
      </w:r>
    </w:p>
    <w:p>
      <w:pPr>
        <w:pStyle w:val="ListParagraph"/>
        <w:numPr>
          <w:ilvl w:val="0"/>
          <w:numId w:val="1"/>
        </w:numPr>
        <w:spacing w:after="60"/>
      </w:pPr>
      <w:r>
        <w:rPr>
          <w:color w:val="26282E"/>
          <w:sz w:val="19"/>
          <w:szCs w:val="19"/>
        </w:rPr>
        <w:t xml:space="preserve">Onsite or remote management of the Client's computer systems and data-processing facilities, where contracted.</w:t>
      </w:r>
    </w:p>
    <w:p>
      <w:pPr>
        <w:pStyle w:val="ListParagraph"/>
        <w:numPr>
          <w:ilvl w:val="0"/>
          <w:numId w:val="1"/>
        </w:numPr>
        <w:spacing w:after="60"/>
      </w:pPr>
      <w:r>
        <w:rPr>
          <w:color w:val="26282E"/>
          <w:sz w:val="19"/>
          <w:szCs w:val="19"/>
        </w:rPr>
        <w:t xml:space="preserve">Hosting and infrastructure support for systems Z-GATE builds or manages.</w:t>
      </w:r>
    </w:p>
    <w:p>
      <w:pPr>
        <w:pStyle w:val="Heading2"/>
        <w:spacing w:after="110" w:before="240"/>
      </w:pPr>
      <w:r>
        <w:rPr>
          <w:rFonts w:ascii="Georgia" w:cs="Georgia" w:eastAsia="Georgia" w:hAnsi="Georgia"/>
          <w:b/>
          <w:bCs/>
          <w:color w:val="3F8CFA"/>
          <w:sz w:val="23"/>
          <w:szCs w:val="23"/>
        </w:rPr>
        <w:t xml:space="preserve">Service Level Metrics</w:t>
      </w:r>
    </w:p>
    <w:tbl>
      <w:tblPr>
        <w:tblW w:type="dxa" w:w="10440"/>
        <w:tblBorders>
          <w:top w:val="single" w:color="C9CCD6" w:sz="4"/>
          <w:left w:val="single" w:color="C9CCD6" w:sz="4"/>
          <w:bottom w:val="single" w:color="C9CCD6" w:sz="4"/>
          <w:right w:val="single" w:color="C9CCD6" w:sz="4"/>
          <w:insideH w:val="single" w:color="auto" w:sz="4"/>
          <w:insideV w:val="single" w:color="auto" w:sz="4"/>
        </w:tblBorders>
        <w:tblLayout w:type="fixed"/>
      </w:tblPr>
      <w:tblGrid>
        <w:gridCol w:w="100"/>
        <w:gridCol w:w="100"/>
        <w:gridCol w:w="100"/>
      </w:tblGrid>
      <w:tr>
        <w:tc>
          <w:tcPr>
            <w:tcW w:type="dxa" w:w="3132"/>
            <w:tcBorders>
              <w:top w:val="single" w:color="D9D9D9" w:sz="4"/>
              <w:left w:val="single" w:color="D9D9D9" w:sz="4"/>
              <w:bottom w:val="single" w:color="D9D9D9" w:sz="4"/>
              <w:right w:val="single" w:color="D9D9D9" w:sz="4"/>
            </w:tcBorders>
            <w:shd w:fill="0B0F1A" w:color="auto" w:val="clear"/>
            <w:tcMar>
              <w:top w:type="dxa" w:w="90"/>
              <w:left w:type="dxa" w:w="120"/>
              <w:bottom w:type="dxa" w:w="90"/>
              <w:right w:type="dxa" w:w="120"/>
            </w:tcMar>
            <w:vAlign w:val="center"/>
          </w:tcPr>
          <w:p>
            <w:pPr>
              <w:jc w:val="left"/>
            </w:pPr>
            <w:r>
              <w:rPr>
                <w:rFonts w:ascii="Inter" w:cs="Inter" w:eastAsia="Inter" w:hAnsi="Inter"/>
                <w:b/>
                <w:bCs/>
                <w:i w:val="false"/>
                <w:iCs w:val="false"/>
                <w:color w:val="FFFFFF"/>
                <w:sz w:val="18"/>
                <w:szCs w:val="18"/>
              </w:rPr>
              <w:t xml:space="preserve">Service Area</w:t>
            </w:r>
          </w:p>
        </w:tc>
        <w:tc>
          <w:tcPr>
            <w:tcW w:type="dxa" w:w="3132"/>
            <w:tcBorders>
              <w:top w:val="single" w:color="D9D9D9" w:sz="4"/>
              <w:left w:val="single" w:color="D9D9D9" w:sz="4"/>
              <w:bottom w:val="single" w:color="D9D9D9" w:sz="4"/>
              <w:right w:val="single" w:color="D9D9D9" w:sz="4"/>
            </w:tcBorders>
            <w:shd w:fill="0B0F1A" w:color="auto" w:val="clear"/>
            <w:tcMar>
              <w:top w:type="dxa" w:w="90"/>
              <w:left w:type="dxa" w:w="120"/>
              <w:bottom w:type="dxa" w:w="90"/>
              <w:right w:type="dxa" w:w="120"/>
            </w:tcMar>
            <w:vAlign w:val="center"/>
          </w:tcPr>
          <w:p>
            <w:pPr>
              <w:jc w:val="left"/>
            </w:pPr>
            <w:r>
              <w:rPr>
                <w:rFonts w:ascii="Inter" w:cs="Inter" w:eastAsia="Inter" w:hAnsi="Inter"/>
                <w:b/>
                <w:bCs/>
                <w:i w:val="false"/>
                <w:iCs w:val="false"/>
                <w:color w:val="FFFFFF"/>
                <w:sz w:val="18"/>
                <w:szCs w:val="18"/>
              </w:rPr>
              <w:t xml:space="preserve">Target</w:t>
            </w:r>
          </w:p>
        </w:tc>
        <w:tc>
          <w:tcPr>
            <w:tcW w:type="dxa" w:w="4176"/>
            <w:tcBorders>
              <w:top w:val="single" w:color="D9D9D9" w:sz="4"/>
              <w:left w:val="single" w:color="D9D9D9" w:sz="4"/>
              <w:bottom w:val="single" w:color="D9D9D9" w:sz="4"/>
              <w:right w:val="single" w:color="D9D9D9" w:sz="4"/>
            </w:tcBorders>
            <w:shd w:fill="0B0F1A" w:color="auto" w:val="clear"/>
            <w:tcMar>
              <w:top w:type="dxa" w:w="90"/>
              <w:left w:type="dxa" w:w="120"/>
              <w:bottom w:type="dxa" w:w="90"/>
              <w:right w:type="dxa" w:w="120"/>
            </w:tcMar>
            <w:vAlign w:val="center"/>
          </w:tcPr>
          <w:p>
            <w:pPr>
              <w:jc w:val="left"/>
            </w:pPr>
            <w:r>
              <w:rPr>
                <w:rFonts w:ascii="Inter" w:cs="Inter" w:eastAsia="Inter" w:hAnsi="Inter"/>
                <w:b/>
                <w:bCs/>
                <w:i w:val="false"/>
                <w:iCs w:val="false"/>
                <w:color w:val="FFFFFF"/>
                <w:sz w:val="18"/>
                <w:szCs w:val="18"/>
              </w:rPr>
              <w:t xml:space="preserve">Response / Turnaround</w:t>
            </w:r>
          </w:p>
        </w:tc>
      </w:tr>
      <w:tr>
        <w:tc>
          <w:tcPr>
            <w:tcW w:type="dxa" w:w="3132"/>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i w:val="false"/>
                <w:iCs w:val="false"/>
                <w:color w:val="0B0F1A"/>
                <w:sz w:val="17"/>
                <w:szCs w:val="17"/>
              </w:rPr>
              <w:t xml:space="preserve">Critical outage (production system down)</w:t>
            </w:r>
          </w:p>
        </w:tc>
        <w:tc>
          <w:tcPr>
            <w:tcW w:type="dxa" w:w="3132"/>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i w:val="false"/>
                <w:iCs w:val="false"/>
                <w:color w:val="0B0F1A"/>
                <w:sz w:val="17"/>
                <w:szCs w:val="17"/>
              </w:rPr>
              <w:t xml:space="preserve">First response</w:t>
            </w:r>
          </w:p>
        </w:tc>
        <w:tc>
          <w:tcPr>
            <w:tcW w:type="dxa" w:w="4176"/>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i w:val="false"/>
                <w:iCs w:val="false"/>
                <w:color w:val="0B0F1A"/>
                <w:sz w:val="17"/>
                <w:szCs w:val="17"/>
              </w:rPr>
              <w:t xml:space="preserve">Within 2 hours; resolution target 8 business hours</w:t>
            </w:r>
          </w:p>
        </w:tc>
      </w:tr>
      <w:tr>
        <w:tc>
          <w:tcPr>
            <w:tcW w:type="dxa" w:w="3132"/>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i w:val="false"/>
                <w:iCs w:val="false"/>
                <w:color w:val="0B0F1A"/>
                <w:sz w:val="17"/>
                <w:szCs w:val="17"/>
              </w:rPr>
              <w:t xml:space="preserve">High-priority defect</w:t>
            </w:r>
          </w:p>
        </w:tc>
        <w:tc>
          <w:tcPr>
            <w:tcW w:type="dxa" w:w="3132"/>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i w:val="false"/>
                <w:iCs w:val="false"/>
                <w:color w:val="0B0F1A"/>
                <w:sz w:val="17"/>
                <w:szCs w:val="17"/>
              </w:rPr>
              <w:t xml:space="preserve">First response</w:t>
            </w:r>
          </w:p>
        </w:tc>
        <w:tc>
          <w:tcPr>
            <w:tcW w:type="dxa" w:w="4176"/>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i w:val="false"/>
                <w:iCs w:val="false"/>
                <w:color w:val="0B0F1A"/>
                <w:sz w:val="17"/>
                <w:szCs w:val="17"/>
              </w:rPr>
              <w:t xml:space="preserve">Within 4 business hours; resolution target 2 Business Days</w:t>
            </w:r>
          </w:p>
        </w:tc>
      </w:tr>
      <w:tr>
        <w:tc>
          <w:tcPr>
            <w:tcW w:type="dxa" w:w="3132"/>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i w:val="false"/>
                <w:iCs w:val="false"/>
                <w:color w:val="0B0F1A"/>
                <w:sz w:val="17"/>
                <w:szCs w:val="17"/>
              </w:rPr>
              <w:t xml:space="preserve">Standard change / feature request</w:t>
            </w:r>
          </w:p>
        </w:tc>
        <w:tc>
          <w:tcPr>
            <w:tcW w:type="dxa" w:w="3132"/>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i w:val="false"/>
                <w:iCs w:val="false"/>
                <w:color w:val="0B0F1A"/>
                <w:sz w:val="17"/>
                <w:szCs w:val="17"/>
              </w:rPr>
              <w:t xml:space="preserve">First response</w:t>
            </w:r>
          </w:p>
        </w:tc>
        <w:tc>
          <w:tcPr>
            <w:tcW w:type="dxa" w:w="4176"/>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i w:val="false"/>
                <w:iCs w:val="false"/>
                <w:color w:val="0B0F1A"/>
                <w:sz w:val="17"/>
                <w:szCs w:val="17"/>
              </w:rPr>
              <w:t xml:space="preserve">Within 2 Business Days; delivery per agreed sprint plan</w:t>
            </w:r>
          </w:p>
        </w:tc>
      </w:tr>
      <w:tr>
        <w:tc>
          <w:tcPr>
            <w:tcW w:type="dxa" w:w="3132"/>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i w:val="false"/>
                <w:iCs w:val="false"/>
                <w:color w:val="0B0F1A"/>
                <w:sz w:val="17"/>
                <w:szCs w:val="17"/>
              </w:rPr>
              <w:t xml:space="preserve">Hosted system uptime</w:t>
            </w:r>
          </w:p>
        </w:tc>
        <w:tc>
          <w:tcPr>
            <w:tcW w:type="dxa" w:w="3132"/>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i w:val="false"/>
                <w:iCs w:val="false"/>
                <w:color w:val="0B0F1A"/>
                <w:sz w:val="17"/>
                <w:szCs w:val="17"/>
              </w:rPr>
              <w:t xml:space="preserve">Monthly uptime</w:t>
            </w:r>
          </w:p>
        </w:tc>
        <w:tc>
          <w:tcPr>
            <w:tcW w:type="dxa" w:w="4176"/>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i w:val="false"/>
                <w:iCs w:val="false"/>
                <w:color w:val="0B0F1A"/>
                <w:sz w:val="17"/>
                <w:szCs w:val="17"/>
              </w:rPr>
              <w:t xml:space="preserve">99% (excluding scheduled maintenance windows)</w:t>
            </w:r>
          </w:p>
        </w:tc>
      </w:tr>
    </w:tbl>
    <w:p>
      <w:pPr>
        <w:pStyle w:val="Heading2"/>
        <w:spacing w:after="110" w:before="240"/>
      </w:pPr>
      <w:r>
        <w:rPr>
          <w:rFonts w:ascii="Georgia" w:cs="Georgia" w:eastAsia="Georgia" w:hAnsi="Georgia"/>
          <w:b/>
          <w:bCs/>
          <w:color w:val="3F8CFA"/>
          <w:sz w:val="23"/>
          <w:szCs w:val="23"/>
        </w:rPr>
        <w:t xml:space="preserve">Deliverables</w:t>
      </w:r>
    </w:p>
    <w:p>
      <w:pPr>
        <w:pStyle w:val="ListParagraph"/>
        <w:numPr>
          <w:ilvl w:val="0"/>
          <w:numId w:val="1"/>
        </w:numPr>
        <w:spacing w:after="60"/>
      </w:pPr>
      <w:r>
        <w:rPr>
          <w:color w:val="26282E"/>
          <w:sz w:val="19"/>
          <w:szCs w:val="19"/>
        </w:rPr>
        <w:t xml:space="preserve">Agreed system, feature, or integration, delivered against the project brief.</w:t>
      </w:r>
    </w:p>
    <w:p>
      <w:pPr>
        <w:pStyle w:val="ListParagraph"/>
        <w:numPr>
          <w:ilvl w:val="0"/>
          <w:numId w:val="1"/>
        </w:numPr>
        <w:spacing w:after="60"/>
      </w:pPr>
      <w:r>
        <w:rPr>
          <w:color w:val="26282E"/>
          <w:sz w:val="19"/>
          <w:szCs w:val="19"/>
        </w:rPr>
        <w:t xml:space="preserve">Monthly uptime and incident report for hosted systems.</w:t>
      </w:r>
    </w:p>
    <w:p>
      <w:pPr>
        <w:pStyle w:val="Heading2"/>
        <w:spacing w:after="110" w:before="240"/>
      </w:pPr>
      <w:r>
        <w:rPr>
          <w:rFonts w:ascii="Georgia" w:cs="Georgia" w:eastAsia="Georgia" w:hAnsi="Georgia"/>
          <w:b/>
          <w:bCs/>
          <w:color w:val="3F8CFA"/>
          <w:sz w:val="23"/>
          <w:szCs w:val="23"/>
        </w:rPr>
        <w:t xml:space="preserve">Fees</w:t>
      </w:r>
    </w:p>
    <w:p>
      <w:pPr>
        <w:spacing w:after="200"/>
      </w:pPr>
      <w:r>
        <w:rPr>
          <w:b/>
          <w:bCs/>
          <w:color w:val="0B0F1A"/>
          <w:sz w:val="19"/>
          <w:szCs w:val="19"/>
        </w:rPr>
        <w:t xml:space="preserve">Project / retainer fee structure (RWF): </w:t>
      </w:r>
      <w:r>
        <w:rPr>
          <w:color w:val="6B7280"/>
          <w:sz w:val="19"/>
          <w:szCs w:val="19"/>
        </w:rPr>
        <w:t xml:space="preserve">______________________________</w:t>
      </w:r>
    </w:p>
    <w:p>
      <w:pPr>
        <w:spacing w:after="200"/>
      </w:pPr>
      <w:r>
        <w:rPr>
          <w:b/>
          <w:bCs/>
          <w:color w:val="0B0F1A"/>
          <w:sz w:val="19"/>
          <w:szCs w:val="19"/>
        </w:rPr>
        <w:t xml:space="preserve">Support tier: </w:t>
      </w:r>
      <w:r>
        <w:rPr>
          <w:color w:val="6B7280"/>
          <w:sz w:val="19"/>
          <w:szCs w:val="19"/>
        </w:rPr>
        <w:t xml:space="preserve">____________________</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10440"/>
            <w:shd w:fill="A85CF6" w:color="auto" w:val="clear"/>
            <w:tcMar>
              <w:top w:type="dxa" w:w="180"/>
              <w:left w:type="dxa" w:w="220"/>
              <w:bottom w:type="dxa" w:w="180"/>
              <w:right w:type="dxa" w:w="220"/>
            </w:tcMar>
          </w:tcPr>
          <w:p>
            <w:r>
              <w:rPr>
                <w:rFonts w:ascii="Georgia" w:cs="Georgia" w:eastAsia="Georgia" w:hAnsi="Georgia"/>
                <w:b/>
                <w:bCs/>
                <w:color w:val="FFFFFF"/>
                <w:sz w:val="24"/>
                <w:szCs w:val="24"/>
              </w:rPr>
              <w:t xml:space="preserve">SCHEDULE D — Z-GATE DATA — DATA ANALYTICS &amp; BUSINESS INTELLIGENCE</w:t>
            </w:r>
          </w:p>
        </w:tc>
      </w:tr>
    </w:tbl>
    <w:p>
      <w:pPr>
        <w:pStyle w:val="Heading2"/>
        <w:spacing w:after="110" w:before="240"/>
      </w:pPr>
      <w:r>
        <w:rPr>
          <w:rFonts w:ascii="Georgia" w:cs="Georgia" w:eastAsia="Georgia" w:hAnsi="Georgia"/>
          <w:b/>
          <w:bCs/>
          <w:color w:val="A85CF6"/>
          <w:sz w:val="23"/>
          <w:szCs w:val="23"/>
        </w:rPr>
        <w:t xml:space="preserve">Scope of Services</w:t>
      </w:r>
    </w:p>
    <w:p>
      <w:pPr>
        <w:pStyle w:val="ListParagraph"/>
        <w:numPr>
          <w:ilvl w:val="0"/>
          <w:numId w:val="1"/>
        </w:numPr>
        <w:spacing w:after="60"/>
      </w:pPr>
      <w:r>
        <w:rPr>
          <w:color w:val="26282E"/>
          <w:sz w:val="19"/>
          <w:szCs w:val="19"/>
        </w:rPr>
        <w:t xml:space="preserve">Data entry and data processing from the Client's records into an agreed format.</w:t>
      </w:r>
    </w:p>
    <w:p>
      <w:pPr>
        <w:pStyle w:val="ListParagraph"/>
        <w:numPr>
          <w:ilvl w:val="0"/>
          <w:numId w:val="1"/>
        </w:numPr>
        <w:spacing w:after="60"/>
      </w:pPr>
      <w:r>
        <w:rPr>
          <w:color w:val="26282E"/>
          <w:sz w:val="19"/>
          <w:szCs w:val="19"/>
        </w:rPr>
        <w:t xml:space="preserve">Standard reporting and dashboard delivery on the agreed cadence.</w:t>
      </w:r>
    </w:p>
    <w:p>
      <w:pPr>
        <w:pStyle w:val="ListParagraph"/>
        <w:numPr>
          <w:ilvl w:val="0"/>
          <w:numId w:val="1"/>
        </w:numPr>
        <w:spacing w:after="60"/>
      </w:pPr>
      <w:r>
        <w:rPr>
          <w:color w:val="26282E"/>
          <w:sz w:val="19"/>
          <w:szCs w:val="19"/>
        </w:rPr>
        <w:t xml:space="preserve">Ad hoc analysis on request, quoted separately if outside the retainer scope.</w:t>
      </w:r>
    </w:p>
    <w:p>
      <w:pPr>
        <w:pStyle w:val="Heading2"/>
        <w:spacing w:after="110" w:before="240"/>
      </w:pPr>
      <w:r>
        <w:rPr>
          <w:rFonts w:ascii="Georgia" w:cs="Georgia" w:eastAsia="Georgia" w:hAnsi="Georgia"/>
          <w:b/>
          <w:bCs/>
          <w:color w:val="A85CF6"/>
          <w:sz w:val="23"/>
          <w:szCs w:val="23"/>
        </w:rPr>
        <w:t xml:space="preserve">Service Level Metrics</w:t>
      </w:r>
    </w:p>
    <w:tbl>
      <w:tblPr>
        <w:tblW w:type="dxa" w:w="10440"/>
        <w:tblBorders>
          <w:top w:val="single" w:color="C9CCD6" w:sz="4"/>
          <w:left w:val="single" w:color="C9CCD6" w:sz="4"/>
          <w:bottom w:val="single" w:color="C9CCD6" w:sz="4"/>
          <w:right w:val="single" w:color="C9CCD6" w:sz="4"/>
          <w:insideH w:val="single" w:color="auto" w:sz="4"/>
          <w:insideV w:val="single" w:color="auto" w:sz="4"/>
        </w:tblBorders>
        <w:tblLayout w:type="fixed"/>
      </w:tblPr>
      <w:tblGrid>
        <w:gridCol w:w="100"/>
        <w:gridCol w:w="100"/>
        <w:gridCol w:w="100"/>
      </w:tblGrid>
      <w:tr>
        <w:tc>
          <w:tcPr>
            <w:tcW w:type="dxa" w:w="3132"/>
            <w:tcBorders>
              <w:top w:val="single" w:color="D9D9D9" w:sz="4"/>
              <w:left w:val="single" w:color="D9D9D9" w:sz="4"/>
              <w:bottom w:val="single" w:color="D9D9D9" w:sz="4"/>
              <w:right w:val="single" w:color="D9D9D9" w:sz="4"/>
            </w:tcBorders>
            <w:shd w:fill="0B0F1A" w:color="auto" w:val="clear"/>
            <w:tcMar>
              <w:top w:type="dxa" w:w="90"/>
              <w:left w:type="dxa" w:w="120"/>
              <w:bottom w:type="dxa" w:w="90"/>
              <w:right w:type="dxa" w:w="120"/>
            </w:tcMar>
            <w:vAlign w:val="center"/>
          </w:tcPr>
          <w:p>
            <w:pPr>
              <w:jc w:val="left"/>
            </w:pPr>
            <w:r>
              <w:rPr>
                <w:rFonts w:ascii="Inter" w:cs="Inter" w:eastAsia="Inter" w:hAnsi="Inter"/>
                <w:b/>
                <w:bCs/>
                <w:i w:val="false"/>
                <w:iCs w:val="false"/>
                <w:color w:val="FFFFFF"/>
                <w:sz w:val="18"/>
                <w:szCs w:val="18"/>
              </w:rPr>
              <w:t xml:space="preserve">Service Area</w:t>
            </w:r>
          </w:p>
        </w:tc>
        <w:tc>
          <w:tcPr>
            <w:tcW w:type="dxa" w:w="3132"/>
            <w:tcBorders>
              <w:top w:val="single" w:color="D9D9D9" w:sz="4"/>
              <w:left w:val="single" w:color="D9D9D9" w:sz="4"/>
              <w:bottom w:val="single" w:color="D9D9D9" w:sz="4"/>
              <w:right w:val="single" w:color="D9D9D9" w:sz="4"/>
            </w:tcBorders>
            <w:shd w:fill="0B0F1A" w:color="auto" w:val="clear"/>
            <w:tcMar>
              <w:top w:type="dxa" w:w="90"/>
              <w:left w:type="dxa" w:w="120"/>
              <w:bottom w:type="dxa" w:w="90"/>
              <w:right w:type="dxa" w:w="120"/>
            </w:tcMar>
            <w:vAlign w:val="center"/>
          </w:tcPr>
          <w:p>
            <w:pPr>
              <w:jc w:val="left"/>
            </w:pPr>
            <w:r>
              <w:rPr>
                <w:rFonts w:ascii="Inter" w:cs="Inter" w:eastAsia="Inter" w:hAnsi="Inter"/>
                <w:b/>
                <w:bCs/>
                <w:i w:val="false"/>
                <w:iCs w:val="false"/>
                <w:color w:val="FFFFFF"/>
                <w:sz w:val="18"/>
                <w:szCs w:val="18"/>
              </w:rPr>
              <w:t xml:space="preserve">Target</w:t>
            </w:r>
          </w:p>
        </w:tc>
        <w:tc>
          <w:tcPr>
            <w:tcW w:type="dxa" w:w="4176"/>
            <w:tcBorders>
              <w:top w:val="single" w:color="D9D9D9" w:sz="4"/>
              <w:left w:val="single" w:color="D9D9D9" w:sz="4"/>
              <w:bottom w:val="single" w:color="D9D9D9" w:sz="4"/>
              <w:right w:val="single" w:color="D9D9D9" w:sz="4"/>
            </w:tcBorders>
            <w:shd w:fill="0B0F1A" w:color="auto" w:val="clear"/>
            <w:tcMar>
              <w:top w:type="dxa" w:w="90"/>
              <w:left w:type="dxa" w:w="120"/>
              <w:bottom w:type="dxa" w:w="90"/>
              <w:right w:type="dxa" w:w="120"/>
            </w:tcMar>
            <w:vAlign w:val="center"/>
          </w:tcPr>
          <w:p>
            <w:pPr>
              <w:jc w:val="left"/>
            </w:pPr>
            <w:r>
              <w:rPr>
                <w:rFonts w:ascii="Inter" w:cs="Inter" w:eastAsia="Inter" w:hAnsi="Inter"/>
                <w:b/>
                <w:bCs/>
                <w:i w:val="false"/>
                <w:iCs w:val="false"/>
                <w:color w:val="FFFFFF"/>
                <w:sz w:val="18"/>
                <w:szCs w:val="18"/>
              </w:rPr>
              <w:t xml:space="preserve">Response / Turnaround</w:t>
            </w:r>
          </w:p>
        </w:tc>
      </w:tr>
      <w:tr>
        <w:tc>
          <w:tcPr>
            <w:tcW w:type="dxa" w:w="3132"/>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i w:val="false"/>
                <w:iCs w:val="false"/>
                <w:color w:val="0B0F1A"/>
                <w:sz w:val="17"/>
                <w:szCs w:val="17"/>
              </w:rPr>
              <w:t xml:space="preserve">Standard data entry / processing</w:t>
            </w:r>
          </w:p>
        </w:tc>
        <w:tc>
          <w:tcPr>
            <w:tcW w:type="dxa" w:w="3132"/>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i w:val="false"/>
                <w:iCs w:val="false"/>
                <w:color w:val="0B0F1A"/>
                <w:sz w:val="17"/>
                <w:szCs w:val="17"/>
              </w:rPr>
              <w:t xml:space="preserve">Completed and delivered</w:t>
            </w:r>
          </w:p>
        </w:tc>
        <w:tc>
          <w:tcPr>
            <w:tcW w:type="dxa" w:w="4176"/>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i w:val="false"/>
                <w:iCs w:val="false"/>
                <w:color w:val="0B0F1A"/>
                <w:sz w:val="17"/>
                <w:szCs w:val="17"/>
              </w:rPr>
              <w:t xml:space="preserve">Within 3 Business Days of receipt</w:t>
            </w:r>
          </w:p>
        </w:tc>
      </w:tr>
      <w:tr>
        <w:tc>
          <w:tcPr>
            <w:tcW w:type="dxa" w:w="3132"/>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i w:val="false"/>
                <w:iCs w:val="false"/>
                <w:color w:val="0B0F1A"/>
                <w:sz w:val="17"/>
                <w:szCs w:val="17"/>
              </w:rPr>
              <w:t xml:space="preserve">Monthly report / dashboard</w:t>
            </w:r>
          </w:p>
        </w:tc>
        <w:tc>
          <w:tcPr>
            <w:tcW w:type="dxa" w:w="3132"/>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i w:val="false"/>
                <w:iCs w:val="false"/>
                <w:color w:val="0B0F1A"/>
                <w:sz w:val="17"/>
                <w:szCs w:val="17"/>
              </w:rPr>
              <w:t xml:space="preserve">Delivered</w:t>
            </w:r>
          </w:p>
        </w:tc>
        <w:tc>
          <w:tcPr>
            <w:tcW w:type="dxa" w:w="4176"/>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i w:val="false"/>
                <w:iCs w:val="false"/>
                <w:color w:val="0B0F1A"/>
                <w:sz w:val="17"/>
                <w:szCs w:val="17"/>
              </w:rPr>
              <w:t xml:space="preserve">By the 5th Business Day of the following month</w:t>
            </w:r>
          </w:p>
        </w:tc>
      </w:tr>
      <w:tr>
        <w:tc>
          <w:tcPr>
            <w:tcW w:type="dxa" w:w="3132"/>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i w:val="false"/>
                <w:iCs w:val="false"/>
                <w:color w:val="0B0F1A"/>
                <w:sz w:val="17"/>
                <w:szCs w:val="17"/>
              </w:rPr>
              <w:t xml:space="preserve">Data accuracy</w:t>
            </w:r>
          </w:p>
        </w:tc>
        <w:tc>
          <w:tcPr>
            <w:tcW w:type="dxa" w:w="3132"/>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i w:val="false"/>
                <w:iCs w:val="false"/>
                <w:color w:val="0B0F1A"/>
                <w:sz w:val="17"/>
                <w:szCs w:val="17"/>
              </w:rPr>
              <w:t xml:space="preserve">Accuracy rate</w:t>
            </w:r>
          </w:p>
        </w:tc>
        <w:tc>
          <w:tcPr>
            <w:tcW w:type="dxa" w:w="4176"/>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i w:val="false"/>
                <w:iCs w:val="false"/>
                <w:color w:val="0B0F1A"/>
                <w:sz w:val="17"/>
                <w:szCs w:val="17"/>
              </w:rPr>
              <w:t xml:space="preserve">99.5% target, verified by sample audit</w:t>
            </w:r>
          </w:p>
        </w:tc>
      </w:tr>
      <w:tr>
        <w:tc>
          <w:tcPr>
            <w:tcW w:type="dxa" w:w="3132"/>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i w:val="false"/>
                <w:iCs w:val="false"/>
                <w:color w:val="0B0F1A"/>
                <w:sz w:val="17"/>
                <w:szCs w:val="17"/>
              </w:rPr>
              <w:t xml:space="preserve">Urgent data request</w:t>
            </w:r>
          </w:p>
        </w:tc>
        <w:tc>
          <w:tcPr>
            <w:tcW w:type="dxa" w:w="3132"/>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i w:val="false"/>
                <w:iCs w:val="false"/>
                <w:color w:val="0B0F1A"/>
                <w:sz w:val="17"/>
                <w:szCs w:val="17"/>
              </w:rPr>
              <w:t xml:space="preserve">First response</w:t>
            </w:r>
          </w:p>
        </w:tc>
        <w:tc>
          <w:tcPr>
            <w:tcW w:type="dxa" w:w="4176"/>
            <w:tcBorders>
              <w:top w:val="single" w:color="D9D9D9" w:sz="4"/>
              <w:left w:val="single" w:color="D9D9D9" w:sz="4"/>
              <w:bottom w:val="single" w:color="D9D9D9" w:sz="4"/>
              <w:right w:val="single" w:color="D9D9D9" w:sz="4"/>
            </w:tcBorders>
            <w:tcMar>
              <w:top w:type="dxa" w:w="90"/>
              <w:left w:type="dxa" w:w="120"/>
              <w:bottom w:type="dxa" w:w="90"/>
              <w:right w:type="dxa" w:w="120"/>
            </w:tcMar>
            <w:vAlign w:val="center"/>
          </w:tcPr>
          <w:p>
            <w:pPr>
              <w:jc w:val="left"/>
            </w:pPr>
            <w:r>
              <w:rPr>
                <w:rFonts w:ascii="Inter" w:cs="Inter" w:eastAsia="Inter" w:hAnsi="Inter"/>
                <w:b w:val="false"/>
                <w:bCs w:val="false"/>
                <w:i w:val="false"/>
                <w:iCs w:val="false"/>
                <w:color w:val="0B0F1A"/>
                <w:sz w:val="17"/>
                <w:szCs w:val="17"/>
              </w:rPr>
              <w:t xml:space="preserve">Within 1 Business Day</w:t>
            </w:r>
          </w:p>
        </w:tc>
      </w:tr>
    </w:tbl>
    <w:p>
      <w:pPr>
        <w:pStyle w:val="Heading2"/>
        <w:spacing w:after="110" w:before="240"/>
      </w:pPr>
      <w:r>
        <w:rPr>
          <w:rFonts w:ascii="Georgia" w:cs="Georgia" w:eastAsia="Georgia" w:hAnsi="Georgia"/>
          <w:b/>
          <w:bCs/>
          <w:color w:val="A85CF6"/>
          <w:sz w:val="23"/>
          <w:szCs w:val="23"/>
        </w:rPr>
        <w:t xml:space="preserve">Deliverables</w:t>
      </w:r>
    </w:p>
    <w:p>
      <w:pPr>
        <w:pStyle w:val="ListParagraph"/>
        <w:numPr>
          <w:ilvl w:val="0"/>
          <w:numId w:val="1"/>
        </w:numPr>
        <w:spacing w:after="60"/>
      </w:pPr>
      <w:r>
        <w:rPr>
          <w:color w:val="26282E"/>
          <w:sz w:val="19"/>
          <w:szCs w:val="19"/>
        </w:rPr>
        <w:t xml:space="preserve">Monthly standard report or dashboard in the agreed format.</w:t>
      </w:r>
    </w:p>
    <w:p>
      <w:pPr>
        <w:pStyle w:val="ListParagraph"/>
        <w:numPr>
          <w:ilvl w:val="0"/>
          <w:numId w:val="1"/>
        </w:numPr>
        <w:spacing w:after="60"/>
      </w:pPr>
      <w:r>
        <w:rPr>
          <w:color w:val="26282E"/>
          <w:sz w:val="19"/>
          <w:szCs w:val="19"/>
        </w:rPr>
        <w:t xml:space="preserve">Processed dataset delivered in the Client's specified system or file format.</w:t>
      </w:r>
    </w:p>
    <w:p>
      <w:pPr>
        <w:pStyle w:val="Heading2"/>
        <w:spacing w:after="110" w:before="240"/>
      </w:pPr>
      <w:r>
        <w:rPr>
          <w:rFonts w:ascii="Georgia" w:cs="Georgia" w:eastAsia="Georgia" w:hAnsi="Georgia"/>
          <w:b/>
          <w:bCs/>
          <w:color w:val="A85CF6"/>
          <w:sz w:val="23"/>
          <w:szCs w:val="23"/>
        </w:rPr>
        <w:t xml:space="preserve">Fees</w:t>
      </w:r>
    </w:p>
    <w:p>
      <w:pPr>
        <w:spacing w:after="200"/>
      </w:pPr>
      <w:r>
        <w:rPr>
          <w:b/>
          <w:bCs/>
          <w:color w:val="0B0F1A"/>
          <w:sz w:val="19"/>
          <w:szCs w:val="19"/>
        </w:rPr>
        <w:t xml:space="preserve">Monthly retainer fee (RWF): </w:t>
      </w:r>
      <w:r>
        <w:rPr>
          <w:color w:val="6B7280"/>
          <w:sz w:val="19"/>
          <w:szCs w:val="19"/>
        </w:rPr>
        <w:t xml:space="preserve">______________________________</w:t>
      </w:r>
    </w:p>
    <w:p>
      <w:pPr>
        <w:spacing w:after="200"/>
      </w:pPr>
      <w:r>
        <w:rPr>
          <w:b/>
          <w:bCs/>
          <w:color w:val="0B0F1A"/>
          <w:sz w:val="19"/>
          <w:szCs w:val="19"/>
        </w:rPr>
        <w:t xml:space="preserve">Reporting cadence: </w:t>
      </w:r>
      <w:r>
        <w:rPr>
          <w:color w:val="6B7280"/>
          <w:sz w:val="19"/>
          <w:szCs w:val="19"/>
        </w:rPr>
        <w:t xml:space="preserve">____________________</w:t>
      </w:r>
    </w:p>
    <w:p>
      <w:r>
        <w:br w:type="page"/>
      </w:r>
    </w:p>
    <w:p>
      <w:pPr>
        <w:spacing w:after="60" w:before="200"/>
      </w:pPr>
      <w:r>
        <w:rPr>
          <w:b/>
          <w:bCs/>
          <w:color w:val="5B6BFA"/>
          <w:sz w:val="20"/>
          <w:szCs w:val="20"/>
        </w:rPr>
        <w:t xml:space="preserve">— </w:t>
      </w:r>
      <w:r>
        <w:rPr>
          <w:b/>
          <w:bCs/>
          <w:color w:val="5B6BFA"/>
          <w:spacing w:val="20"/>
          <w:sz w:val="20"/>
          <w:szCs w:val="20"/>
        </w:rPr>
        <w:t xml:space="preserve">EXECUTION</w:t>
      </w:r>
    </w:p>
    <w:p>
      <w:pPr>
        <w:pStyle w:val="Heading1"/>
        <w:pBdr>
          <w:bottom w:val="single" w:color="0B0F1A" w:sz="12" w:space="6"/>
        </w:pBdr>
        <w:spacing w:after="150" w:before="380"/>
      </w:pPr>
      <w:r>
        <w:rPr>
          <w:rFonts w:ascii="Georgia" w:cs="Georgia" w:eastAsia="Georgia" w:hAnsi="Georgia"/>
          <w:b/>
          <w:bCs/>
          <w:color w:val="0B0F1A"/>
          <w:sz w:val="30"/>
          <w:szCs w:val="30"/>
        </w:rPr>
        <w:t xml:space="preserve">Signature Page</w:t>
      </w:r>
    </w:p>
    <w:p>
      <w:pPr>
        <w:spacing w:after="120"/>
      </w:pPr>
      <w:r>
        <w:rPr>
          <w:color w:val="26282E"/>
          <w:sz w:val="19"/>
          <w:szCs w:val="19"/>
        </w:rPr>
        <w:t xml:space="preserve">By signing below, each Party agrees to be bound by this Agreement, including the Service Schedule(s) checked below.</w:t>
      </w:r>
    </w:p>
    <w:p>
      <w:pPr>
        <w:pStyle w:val="Heading2"/>
        <w:spacing w:after="110" w:before="240"/>
      </w:pPr>
      <w:r>
        <w:rPr>
          <w:rFonts w:ascii="Georgia" w:cs="Georgia" w:eastAsia="Georgia" w:hAnsi="Georgia"/>
          <w:b/>
          <w:bCs/>
          <w:color w:val="5B6BFA"/>
          <w:sz w:val="23"/>
          <w:szCs w:val="23"/>
        </w:rPr>
        <w:t xml:space="preserve">Service Schedules Engaged</w:t>
      </w:r>
    </w:p>
    <w:tbl>
      <w:tblPr>
        <w:tblW w:type="dxa" w:w="10440"/>
        <w:tblBorders>
          <w:top w:val="single" w:color="C9CCD6" w:sz="4"/>
          <w:left w:val="single" w:color="C9CCD6" w:sz="4"/>
          <w:bottom w:val="single" w:color="C9CCD6" w:sz="4"/>
          <w:right w:val="single" w:color="C9CCD6" w:sz="4"/>
          <w:insideH w:val="single" w:color="auto" w:sz="4"/>
          <w:insideV w:val="single" w:color="auto" w:sz="4"/>
        </w:tblBorders>
      </w:tblPr>
      <w:tblGrid>
        <w:gridCol w:w="100"/>
        <w:gridCol w:w="100"/>
      </w:tblGrid>
      <w:tr>
        <w:tc>
          <w:tcPr>
            <w:tcW w:type="dxa" w:w="5220"/>
            <w:tcBorders>
              <w:top w:val="single" w:color="D9D9D9" w:sz="4"/>
              <w:left w:val="single" w:color="D9D9D9" w:sz="4"/>
              <w:bottom w:val="single" w:color="D9D9D9" w:sz="4"/>
              <w:right w:val="single" w:color="D9D9D9" w:sz="4"/>
            </w:tcBorders>
            <w:shd w:fill="C9A15A" w:color="auto" w:val="clear"/>
            <w:tcMar>
              <w:top w:type="dxa" w:w="90"/>
              <w:left w:type="dxa" w:w="120"/>
              <w:bottom w:type="dxa" w:w="90"/>
              <w:right w:type="dxa" w:w="120"/>
            </w:tcMar>
            <w:vAlign w:val="center"/>
          </w:tcPr>
          <w:p>
            <w:pPr>
              <w:jc w:val="left"/>
            </w:pPr>
            <w:r>
              <w:rPr>
                <w:rFonts w:ascii="Inter" w:cs="Inter" w:eastAsia="Inter" w:hAnsi="Inter"/>
                <w:b/>
                <w:bCs/>
                <w:i w:val="false"/>
                <w:iCs w:val="false"/>
                <w:color w:val="FFFFFF"/>
                <w:sz w:val="18"/>
                <w:szCs w:val="18"/>
              </w:rPr>
              <w:t xml:space="preserve">☐  Schedule A — Advisory</w:t>
            </w:r>
          </w:p>
        </w:tc>
        <w:tc>
          <w:tcPr>
            <w:tcW w:type="dxa" w:w="5220"/>
            <w:tcBorders>
              <w:top w:val="single" w:color="D9D9D9" w:sz="4"/>
              <w:left w:val="single" w:color="D9D9D9" w:sz="4"/>
              <w:bottom w:val="single" w:color="D9D9D9" w:sz="4"/>
              <w:right w:val="single" w:color="D9D9D9" w:sz="4"/>
            </w:tcBorders>
            <w:shd w:fill="3FAE7A" w:color="auto" w:val="clear"/>
            <w:tcMar>
              <w:top w:type="dxa" w:w="90"/>
              <w:left w:type="dxa" w:w="120"/>
              <w:bottom w:type="dxa" w:w="90"/>
              <w:right w:type="dxa" w:w="120"/>
            </w:tcMar>
            <w:vAlign w:val="center"/>
          </w:tcPr>
          <w:p>
            <w:pPr>
              <w:jc w:val="left"/>
            </w:pPr>
            <w:r>
              <w:rPr>
                <w:rFonts w:ascii="Inter" w:cs="Inter" w:eastAsia="Inter" w:hAnsi="Inter"/>
                <w:b/>
                <w:bCs/>
                <w:i w:val="false"/>
                <w:iCs w:val="false"/>
                <w:color w:val="FFFFFF"/>
                <w:sz w:val="18"/>
                <w:szCs w:val="18"/>
              </w:rPr>
              <w:t xml:space="preserve">☐  Schedule B — Academy</w:t>
            </w:r>
          </w:p>
        </w:tc>
      </w:tr>
      <w:tr>
        <w:tc>
          <w:tcPr>
            <w:tcW w:type="dxa" w:w="5220"/>
            <w:tcBorders>
              <w:top w:val="single" w:color="D9D9D9" w:sz="4"/>
              <w:left w:val="single" w:color="D9D9D9" w:sz="4"/>
              <w:bottom w:val="single" w:color="D9D9D9" w:sz="4"/>
              <w:right w:val="single" w:color="D9D9D9" w:sz="4"/>
            </w:tcBorders>
            <w:shd w:fill="3F8CFA" w:color="auto" w:val="clear"/>
            <w:tcMar>
              <w:top w:type="dxa" w:w="90"/>
              <w:left w:type="dxa" w:w="120"/>
              <w:bottom w:type="dxa" w:w="90"/>
              <w:right w:type="dxa" w:w="120"/>
            </w:tcMar>
            <w:vAlign w:val="center"/>
          </w:tcPr>
          <w:p>
            <w:pPr>
              <w:jc w:val="left"/>
            </w:pPr>
            <w:r>
              <w:rPr>
                <w:rFonts w:ascii="Inter" w:cs="Inter" w:eastAsia="Inter" w:hAnsi="Inter"/>
                <w:b/>
                <w:bCs/>
                <w:i w:val="false"/>
                <w:iCs w:val="false"/>
                <w:color w:val="FFFFFF"/>
                <w:sz w:val="18"/>
                <w:szCs w:val="18"/>
              </w:rPr>
              <w:t xml:space="preserve">☐  Schedule C — Tech</w:t>
            </w:r>
          </w:p>
        </w:tc>
        <w:tc>
          <w:tcPr>
            <w:tcW w:type="dxa" w:w="5220"/>
            <w:tcBorders>
              <w:top w:val="single" w:color="D9D9D9" w:sz="4"/>
              <w:left w:val="single" w:color="D9D9D9" w:sz="4"/>
              <w:bottom w:val="single" w:color="D9D9D9" w:sz="4"/>
              <w:right w:val="single" w:color="D9D9D9" w:sz="4"/>
            </w:tcBorders>
            <w:shd w:fill="A85CF6" w:color="auto" w:val="clear"/>
            <w:tcMar>
              <w:top w:type="dxa" w:w="90"/>
              <w:left w:type="dxa" w:w="120"/>
              <w:bottom w:type="dxa" w:w="90"/>
              <w:right w:type="dxa" w:w="120"/>
            </w:tcMar>
            <w:vAlign w:val="center"/>
          </w:tcPr>
          <w:p>
            <w:pPr>
              <w:jc w:val="left"/>
            </w:pPr>
            <w:r>
              <w:rPr>
                <w:rFonts w:ascii="Inter" w:cs="Inter" w:eastAsia="Inter" w:hAnsi="Inter"/>
                <w:b/>
                <w:bCs/>
                <w:i w:val="false"/>
                <w:iCs w:val="false"/>
                <w:color w:val="FFFFFF"/>
                <w:sz w:val="18"/>
                <w:szCs w:val="18"/>
              </w:rPr>
              <w:t xml:space="preserve">☐  Schedule D — Data</w:t>
            </w:r>
          </w:p>
        </w:tc>
      </w:tr>
    </w:tbl>
    <w:p>
      <w:pPr>
        <w:spacing w:after="40" w:before="260"/>
      </w:pPr>
      <w:r>
        <w:rPr>
          <w:b/>
          <w:bCs/>
          <w:color w:val="0B0F1A"/>
          <w:sz w:val="20"/>
          <w:szCs w:val="20"/>
        </w:rPr>
        <w:t xml:space="preserve">For and on behalf of Z-GATE LTD</w:t>
      </w:r>
    </w:p>
    <w:p>
      <w:pPr>
        <w:spacing w:after="200"/>
      </w:pPr>
      <w:r>
        <w:rPr>
          <w:b/>
          <w:bCs/>
          <w:color w:val="0B0F1A"/>
          <w:sz w:val="19"/>
          <w:szCs w:val="19"/>
        </w:rPr>
        <w:t xml:space="preserve">Name: </w:t>
      </w:r>
      <w:r>
        <w:rPr>
          <w:color w:val="6B7280"/>
          <w:sz w:val="19"/>
          <w:szCs w:val="19"/>
        </w:rPr>
        <w:t xml:space="preserve">__________________________________</w:t>
      </w:r>
    </w:p>
    <w:p>
      <w:pPr>
        <w:spacing w:after="200"/>
      </w:pPr>
      <w:r>
        <w:rPr>
          <w:b/>
          <w:bCs/>
          <w:color w:val="0B0F1A"/>
          <w:sz w:val="19"/>
          <w:szCs w:val="19"/>
        </w:rPr>
        <w:t xml:space="preserve">Title: </w:t>
      </w:r>
      <w:r>
        <w:rPr>
          <w:color w:val="6B7280"/>
          <w:sz w:val="19"/>
          <w:szCs w:val="19"/>
        </w:rPr>
        <w:t xml:space="preserve">__________________________________</w:t>
      </w:r>
    </w:p>
    <w:p>
      <w:pPr>
        <w:spacing w:after="200"/>
      </w:pPr>
      <w:r>
        <w:rPr>
          <w:b/>
          <w:bCs/>
          <w:color w:val="0B0F1A"/>
          <w:sz w:val="19"/>
          <w:szCs w:val="19"/>
        </w:rPr>
        <w:t xml:space="preserve">Signature: </w:t>
      </w:r>
      <w:r>
        <w:rPr>
          <w:color w:val="6B7280"/>
          <w:sz w:val="19"/>
          <w:szCs w:val="19"/>
        </w:rPr>
        <w:t xml:space="preserve">__________________________________</w:t>
      </w:r>
    </w:p>
    <w:p>
      <w:pPr>
        <w:spacing w:after="200"/>
      </w:pPr>
      <w:r>
        <w:rPr>
          <w:b/>
          <w:bCs/>
          <w:color w:val="0B0F1A"/>
          <w:sz w:val="19"/>
          <w:szCs w:val="19"/>
        </w:rPr>
        <w:t xml:space="preserve">Date: </w:t>
      </w:r>
      <w:r>
        <w:rPr>
          <w:color w:val="6B7280"/>
          <w:sz w:val="19"/>
          <w:szCs w:val="19"/>
        </w:rPr>
        <w:t xml:space="preserve">__________________________________</w:t>
      </w:r>
    </w:p>
    <w:p>
      <w:pPr>
        <w:spacing w:after="200"/>
      </w:pPr>
      <w:r>
        <w:rPr>
          <w:b/>
          <w:bCs/>
          <w:color w:val="0B0F1A"/>
          <w:sz w:val="19"/>
          <w:szCs w:val="19"/>
        </w:rPr>
        <w:t xml:space="preserve">National ID / Passport No.: </w:t>
      </w:r>
      <w:r>
        <w:rPr>
          <w:color w:val="6B7280"/>
          <w:sz w:val="19"/>
          <w:szCs w:val="19"/>
        </w:rPr>
        <w:t xml:space="preserve">__________________________________</w:t>
      </w:r>
    </w:p>
    <w:p>
      <w:pPr>
        <w:spacing w:after="200"/>
      </w:pPr>
      <w:r>
        <w:rPr>
          <w:b/>
          <w:bCs/>
          <w:color w:val="0B0F1A"/>
          <w:sz w:val="19"/>
          <w:szCs w:val="19"/>
        </w:rPr>
        <w:t xml:space="preserve">Company Stamp (if applicable): </w:t>
      </w:r>
      <w:r>
        <w:rPr>
          <w:color w:val="6B7280"/>
          <w:sz w:val="19"/>
          <w:szCs w:val="19"/>
        </w:rPr>
        <w:t xml:space="preserve">__________________________________</w:t>
      </w:r>
    </w:p>
    <w:p>
      <w:pPr>
        <w:spacing w:after="40" w:before="260"/>
      </w:pPr>
      <w:r>
        <w:rPr>
          <w:b/>
          <w:bCs/>
          <w:color w:val="0B0F1A"/>
          <w:sz w:val="20"/>
          <w:szCs w:val="20"/>
        </w:rPr>
        <w:t xml:space="preserve">For and on behalf of the Client</w:t>
      </w:r>
    </w:p>
    <w:p>
      <w:pPr>
        <w:spacing w:after="200"/>
      </w:pPr>
      <w:r>
        <w:rPr>
          <w:b/>
          <w:bCs/>
          <w:color w:val="0B0F1A"/>
          <w:sz w:val="19"/>
          <w:szCs w:val="19"/>
        </w:rPr>
        <w:t xml:space="preserve">Name: </w:t>
      </w:r>
      <w:r>
        <w:rPr>
          <w:color w:val="6B7280"/>
          <w:sz w:val="19"/>
          <w:szCs w:val="19"/>
        </w:rPr>
        <w:t xml:space="preserve">__________________________________</w:t>
      </w:r>
    </w:p>
    <w:p>
      <w:pPr>
        <w:spacing w:after="200"/>
      </w:pPr>
      <w:r>
        <w:rPr>
          <w:b/>
          <w:bCs/>
          <w:color w:val="0B0F1A"/>
          <w:sz w:val="19"/>
          <w:szCs w:val="19"/>
        </w:rPr>
        <w:t xml:space="preserve">Title: </w:t>
      </w:r>
      <w:r>
        <w:rPr>
          <w:color w:val="6B7280"/>
          <w:sz w:val="19"/>
          <w:szCs w:val="19"/>
        </w:rPr>
        <w:t xml:space="preserve">__________________________________</w:t>
      </w:r>
    </w:p>
    <w:p>
      <w:pPr>
        <w:spacing w:after="200"/>
      </w:pPr>
      <w:r>
        <w:rPr>
          <w:b/>
          <w:bCs/>
          <w:color w:val="0B0F1A"/>
          <w:sz w:val="19"/>
          <w:szCs w:val="19"/>
        </w:rPr>
        <w:t xml:space="preserve">Signature: </w:t>
      </w:r>
      <w:r>
        <w:rPr>
          <w:color w:val="6B7280"/>
          <w:sz w:val="19"/>
          <w:szCs w:val="19"/>
        </w:rPr>
        <w:t xml:space="preserve">__________________________________</w:t>
      </w:r>
    </w:p>
    <w:p>
      <w:pPr>
        <w:spacing w:after="200"/>
      </w:pPr>
      <w:r>
        <w:rPr>
          <w:b/>
          <w:bCs/>
          <w:color w:val="0B0F1A"/>
          <w:sz w:val="19"/>
          <w:szCs w:val="19"/>
        </w:rPr>
        <w:t xml:space="preserve">Date: </w:t>
      </w:r>
      <w:r>
        <w:rPr>
          <w:color w:val="6B7280"/>
          <w:sz w:val="19"/>
          <w:szCs w:val="19"/>
        </w:rPr>
        <w:t xml:space="preserve">__________________________________</w:t>
      </w:r>
    </w:p>
    <w:p>
      <w:pPr>
        <w:spacing w:after="200"/>
      </w:pPr>
      <w:r>
        <w:rPr>
          <w:b/>
          <w:bCs/>
          <w:color w:val="0B0F1A"/>
          <w:sz w:val="19"/>
          <w:szCs w:val="19"/>
        </w:rPr>
        <w:t xml:space="preserve">National ID / Passport No.: </w:t>
      </w:r>
      <w:r>
        <w:rPr>
          <w:color w:val="6B7280"/>
          <w:sz w:val="19"/>
          <w:szCs w:val="19"/>
        </w:rPr>
        <w:t xml:space="preserve">__________________________________</w:t>
      </w:r>
    </w:p>
    <w:p>
      <w:pPr>
        <w:spacing w:after="200"/>
      </w:pPr>
      <w:r>
        <w:rPr>
          <w:b/>
          <w:bCs/>
          <w:color w:val="0B0F1A"/>
          <w:sz w:val="19"/>
          <w:szCs w:val="19"/>
        </w:rPr>
        <w:t xml:space="preserve">Company Stamp (if applicable): </w:t>
      </w:r>
      <w:r>
        <w:rPr>
          <w:color w:val="6B7280"/>
          <w:sz w:val="19"/>
          <w:szCs w:val="19"/>
        </w:rPr>
        <w:t xml:space="preserve">__________________________________</w:t>
      </w:r>
    </w:p>
    <w:p>
      <w:pPr>
        <w:spacing w:after="120"/>
      </w:pPr>
      <w:r>
        <w:rPr>
          <w:i/>
          <w:iCs/>
          <w:color w:val="6B7280"/>
          <w:sz w:val="16"/>
          <w:szCs w:val="16"/>
        </w:rPr>
        <w:t xml:space="preserve">This Agreement was prepared as a template by Z-GATE's Business Project Development Desk in collaboration with its Service Delivery, Project Management, and Business Analysis functions, and should be reviewed by qualified legal counsel before execution.</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3"/>
        <w:szCs w:val="13"/>
      </w:rPr>
      <w:t xml:space="preserve">Template — not legal advice  ·  Page </w:t>
    </w:r>
    <w:r>
      <w:rPr>
        <w:color w:val="6B7280"/>
        <w:sz w:val="13"/>
        <w:szCs w:val="13"/>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pacing w:val="10"/>
        <w:sz w:val="13"/>
        <w:szCs w:val="13"/>
      </w:rPr>
      <w:t xml:space="preserve">Z-GATE LTD  ·  CLIENT SLA TEMPLATE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26282E"/>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2026-08-26T02:46:24.770Z</dcterms:created>
  <dcterms:modified xsi:type="dcterms:W3CDTF">2026-08-26T02:46:24.787Z</dcterms:modified>
</cp:coreProperties>
</file>

<file path=docProps/custom.xml><?xml version="1.0" encoding="utf-8"?>
<Properties xmlns="http://schemas.openxmlformats.org/officeDocument/2006/custom-properties" xmlns:vt="http://schemas.openxmlformats.org/officeDocument/2006/docPropsVTypes"/>
</file>