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pPr w:leftFromText="141" w:rightFromText="141" w:vertAnchor="text" w:horzAnchor="margin" w:tblpY="-6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4"/>
        <w:gridCol w:w="4614"/>
      </w:tblGrid>
      <w:tr w:rsidR="00802CFC" w:rsidTr="006A1CB1">
        <w:trPr>
          <w:trHeight w:val="1787"/>
        </w:trPr>
        <w:tc>
          <w:tcPr>
            <w:tcW w:w="4614" w:type="dxa"/>
          </w:tcPr>
          <w:p w:rsidR="00802CFC" w:rsidRDefault="00802CFC" w:rsidP="006A1CB1">
            <w:pPr>
              <w:rPr>
                <w:szCs w:val="24"/>
              </w:rPr>
            </w:pPr>
            <w:bookmarkStart w:id="0" w:name="_Toc378006070"/>
            <w:bookmarkStart w:id="1" w:name="_Toc411780306"/>
            <w:bookmarkStart w:id="2" w:name="_Toc377393343"/>
            <w:bookmarkStart w:id="3" w:name="_Toc377393623"/>
            <w:bookmarkStart w:id="4" w:name="_Toc377393799"/>
          </w:p>
          <w:p w:rsidR="00802CFC" w:rsidRDefault="00802CFC" w:rsidP="006A1CB1">
            <w:pPr>
              <w:rPr>
                <w:szCs w:val="24"/>
              </w:rPr>
            </w:pPr>
          </w:p>
          <w:p w:rsidR="00802CFC" w:rsidRDefault="00802CFC" w:rsidP="006A1CB1">
            <w:pPr>
              <w:rPr>
                <w:szCs w:val="24"/>
              </w:rPr>
            </w:pPr>
          </w:p>
          <w:p w:rsidR="00802CFC" w:rsidRDefault="00802CFC" w:rsidP="006A1CB1">
            <w:pPr>
              <w:rPr>
                <w:szCs w:val="24"/>
              </w:rPr>
            </w:pPr>
          </w:p>
          <w:p w:rsidR="00802CFC" w:rsidRDefault="00802CFC" w:rsidP="006A1CB1">
            <w:pPr>
              <w:rPr>
                <w:szCs w:val="24"/>
              </w:rPr>
            </w:pPr>
          </w:p>
          <w:p w:rsidR="00802CFC" w:rsidRDefault="00802CFC" w:rsidP="006A1CB1">
            <w:pPr>
              <w:rPr>
                <w:szCs w:val="24"/>
              </w:rPr>
            </w:pPr>
            <w:r w:rsidRPr="000C3476">
              <w:rPr>
                <w:noProof/>
                <w:szCs w:val="24"/>
              </w:rPr>
              <w:drawing>
                <wp:anchor distT="0" distB="0" distL="114300" distR="114300" simplePos="0" relativeHeight="251673600" behindDoc="0" locked="0" layoutInCell="1" allowOverlap="1">
                  <wp:simplePos x="0" y="0"/>
                  <wp:positionH relativeFrom="margin">
                    <wp:posOffset>338455</wp:posOffset>
                  </wp:positionH>
                  <wp:positionV relativeFrom="margin">
                    <wp:posOffset>74930</wp:posOffset>
                  </wp:positionV>
                  <wp:extent cx="1000125" cy="847725"/>
                  <wp:effectExtent l="19050" t="0" r="9525" b="0"/>
                  <wp:wrapSquare wrapText="bothSides"/>
                  <wp:docPr id="39" name="Image 1" descr="C:\Users\JFG\AppData\Local\Microsoft\Windows\Temporary Internet Files\Content.Word\logo A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G\AppData\Local\Microsoft\Windows\Temporary Internet Files\Content.Word\logo AFD.JPG"/>
                          <pic:cNvPicPr>
                            <a:picLocks noChangeAspect="1" noChangeArrowheads="1"/>
                          </pic:cNvPicPr>
                        </pic:nvPicPr>
                        <pic:blipFill>
                          <a:blip r:embed="rId5" cstate="print"/>
                          <a:srcRect/>
                          <a:stretch>
                            <a:fillRect/>
                          </a:stretch>
                        </pic:blipFill>
                        <pic:spPr bwMode="auto">
                          <a:xfrm>
                            <a:off x="0" y="0"/>
                            <a:ext cx="1000125" cy="847725"/>
                          </a:xfrm>
                          <a:prstGeom prst="rect">
                            <a:avLst/>
                          </a:prstGeom>
                          <a:noFill/>
                          <a:ln w="9525">
                            <a:noFill/>
                            <a:miter lim="800000"/>
                            <a:headEnd/>
                            <a:tailEnd/>
                          </a:ln>
                        </pic:spPr>
                      </pic:pic>
                    </a:graphicData>
                  </a:graphic>
                </wp:anchor>
              </w:drawing>
            </w:r>
          </w:p>
        </w:tc>
        <w:tc>
          <w:tcPr>
            <w:tcW w:w="4614" w:type="dxa"/>
          </w:tcPr>
          <w:p w:rsidR="00802CFC" w:rsidRDefault="00802CFC" w:rsidP="006A1CB1">
            <w:pPr>
              <w:rPr>
                <w:szCs w:val="24"/>
              </w:rPr>
            </w:pPr>
            <w:r w:rsidRPr="000C3476">
              <w:rPr>
                <w:noProof/>
                <w:szCs w:val="24"/>
              </w:rPr>
              <w:drawing>
                <wp:anchor distT="0" distB="0" distL="114300" distR="114300" simplePos="0" relativeHeight="251674624" behindDoc="0" locked="0" layoutInCell="1" allowOverlap="1">
                  <wp:simplePos x="0" y="0"/>
                  <wp:positionH relativeFrom="margin">
                    <wp:posOffset>1423670</wp:posOffset>
                  </wp:positionH>
                  <wp:positionV relativeFrom="margin">
                    <wp:posOffset>74930</wp:posOffset>
                  </wp:positionV>
                  <wp:extent cx="876300" cy="990600"/>
                  <wp:effectExtent l="19050" t="0" r="0" b="0"/>
                  <wp:wrapSquare wrapText="bothSides"/>
                  <wp:docPr id="40" name="Image 4" descr="Logo%20FFEM%20pour%20usage%20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Logo%20FFEM%20pour%20usage%20courant"/>
                          <pic:cNvPicPr>
                            <a:picLocks noChangeAspect="1" noChangeArrowheads="1"/>
                          </pic:cNvPicPr>
                        </pic:nvPicPr>
                        <pic:blipFill>
                          <a:blip r:embed="rId6" cstate="print"/>
                          <a:srcRect/>
                          <a:stretch>
                            <a:fillRect/>
                          </a:stretch>
                        </pic:blipFill>
                        <pic:spPr bwMode="auto">
                          <a:xfrm>
                            <a:off x="0" y="0"/>
                            <a:ext cx="876300" cy="990600"/>
                          </a:xfrm>
                          <a:prstGeom prst="rect">
                            <a:avLst/>
                          </a:prstGeom>
                          <a:noFill/>
                          <a:ln w="9525">
                            <a:noFill/>
                            <a:miter lim="800000"/>
                            <a:headEnd/>
                            <a:tailEnd/>
                          </a:ln>
                        </pic:spPr>
                      </pic:pic>
                    </a:graphicData>
                  </a:graphic>
                </wp:anchor>
              </w:drawing>
            </w:r>
          </w:p>
        </w:tc>
      </w:tr>
    </w:tbl>
    <w:p w:rsidR="00B3725C" w:rsidRDefault="00B3725C" w:rsidP="00B3725C">
      <w:pPr>
        <w:spacing w:after="0" w:line="240" w:lineRule="auto"/>
        <w:rPr>
          <w:rFonts w:cs="Times New Roman"/>
          <w:noProof/>
          <w:sz w:val="20"/>
          <w:szCs w:val="20"/>
        </w:rPr>
      </w:pPr>
    </w:p>
    <w:p w:rsidR="00B3725C" w:rsidRDefault="00B3725C" w:rsidP="00B3725C">
      <w:pPr>
        <w:spacing w:after="0" w:line="240" w:lineRule="auto"/>
        <w:rPr>
          <w:rFonts w:cs="Times New Roman"/>
          <w:noProof/>
          <w:sz w:val="20"/>
          <w:szCs w:val="20"/>
        </w:rPr>
      </w:pPr>
    </w:p>
    <w:p w:rsidR="00B3725C" w:rsidRDefault="00B3725C" w:rsidP="00B3725C">
      <w:pPr>
        <w:spacing w:after="0" w:line="240" w:lineRule="auto"/>
        <w:jc w:val="right"/>
        <w:rPr>
          <w:rFonts w:cs="Times New Roman"/>
          <w:noProof/>
          <w:sz w:val="20"/>
          <w:szCs w:val="20"/>
        </w:rPr>
      </w:pPr>
    </w:p>
    <w:p w:rsidR="00B3725C" w:rsidRDefault="00B3725C" w:rsidP="00B3725C">
      <w:pPr>
        <w:spacing w:after="0" w:line="240" w:lineRule="auto"/>
        <w:jc w:val="right"/>
        <w:rPr>
          <w:rFonts w:cs="Times New Roman"/>
          <w:noProof/>
          <w:sz w:val="20"/>
          <w:szCs w:val="20"/>
        </w:rPr>
      </w:pPr>
    </w:p>
    <w:p w:rsidR="00B3725C" w:rsidRDefault="00B3725C" w:rsidP="00B3725C">
      <w:pPr>
        <w:spacing w:after="0" w:line="240" w:lineRule="auto"/>
        <w:jc w:val="right"/>
        <w:rPr>
          <w:rFonts w:cs="Times New Roman"/>
          <w:noProof/>
          <w:sz w:val="20"/>
          <w:szCs w:val="20"/>
        </w:rPr>
      </w:pPr>
    </w:p>
    <w:p w:rsidR="00B3725C" w:rsidRDefault="00B3725C" w:rsidP="00B3725C">
      <w:pPr>
        <w:jc w:val="center"/>
        <w:rPr>
          <w:rFonts w:cs="Times New Roman"/>
          <w:b/>
          <w:sz w:val="36"/>
          <w:szCs w:val="36"/>
        </w:rPr>
      </w:pPr>
    </w:p>
    <w:p w:rsidR="00B3725C" w:rsidRPr="00F424D0" w:rsidRDefault="00B3725C" w:rsidP="00B3725C">
      <w:pPr>
        <w:jc w:val="center"/>
        <w:rPr>
          <w:rFonts w:cs="Times New Roman"/>
          <w:b/>
          <w:sz w:val="36"/>
          <w:szCs w:val="36"/>
        </w:rPr>
      </w:pPr>
      <w:r>
        <w:rPr>
          <w:rFonts w:cs="Times New Roman"/>
          <w:b/>
          <w:sz w:val="36"/>
          <w:szCs w:val="36"/>
        </w:rPr>
        <w:t>Rapport annuel - 2014</w:t>
      </w:r>
    </w:p>
    <w:p w:rsidR="00B3725C" w:rsidRDefault="00B3725C" w:rsidP="00B3725C">
      <w:pPr>
        <w:spacing w:after="120"/>
        <w:jc w:val="center"/>
        <w:rPr>
          <w:b/>
          <w:sz w:val="40"/>
          <w:szCs w:val="40"/>
          <w:lang w:val="fr-BE"/>
        </w:rPr>
      </w:pPr>
      <w:r w:rsidRPr="00370867">
        <w:rPr>
          <w:b/>
          <w:sz w:val="40"/>
          <w:szCs w:val="40"/>
          <w:lang w:val="fr-BE"/>
        </w:rPr>
        <w:t xml:space="preserve">Projet </w:t>
      </w:r>
      <w:proofErr w:type="spellStart"/>
      <w:r w:rsidRPr="00370867">
        <w:rPr>
          <w:b/>
          <w:sz w:val="40"/>
          <w:szCs w:val="40"/>
          <w:lang w:val="fr-BE"/>
        </w:rPr>
        <w:t>DynAfFor</w:t>
      </w:r>
      <w:proofErr w:type="spellEnd"/>
    </w:p>
    <w:p w:rsidR="00B3725C" w:rsidRPr="003261B7" w:rsidRDefault="00B3725C" w:rsidP="00B3725C">
      <w:pPr>
        <w:jc w:val="center"/>
        <w:rPr>
          <w:b/>
          <w:szCs w:val="24"/>
          <w:lang w:val="fr-BE"/>
        </w:rPr>
      </w:pPr>
      <w:r>
        <w:rPr>
          <w:b/>
          <w:szCs w:val="24"/>
          <w:lang w:val="fr-BE"/>
        </w:rPr>
        <w:t>Février 2015</w:t>
      </w:r>
    </w:p>
    <w:p w:rsidR="00B3725C" w:rsidRPr="00C45B81" w:rsidRDefault="00B3725C" w:rsidP="00B3725C">
      <w:pPr>
        <w:spacing w:after="0" w:line="240" w:lineRule="auto"/>
        <w:jc w:val="center"/>
        <w:rPr>
          <w:noProof/>
        </w:rPr>
      </w:pPr>
      <w:r w:rsidRPr="00F8685C">
        <w:rPr>
          <w:noProof/>
        </w:rPr>
        <w:drawing>
          <wp:inline distT="0" distB="0" distL="0" distR="0">
            <wp:extent cx="1596581" cy="2752725"/>
            <wp:effectExtent l="0" t="0" r="3810" b="0"/>
            <wp:docPr id="210" name="Image 4" descr="LogoDynAfFo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LogoDynAfFor(9).png"/>
                    <pic:cNvPicPr>
                      <a:picLocks noChangeAspect="1"/>
                    </pic:cNvPicPr>
                  </pic:nvPicPr>
                  <pic:blipFill rotWithShape="1">
                    <a:blip r:embed="rId7" cstate="print"/>
                    <a:srcRect l="13115" t="5218" r="15574" b="7803"/>
                    <a:stretch/>
                  </pic:blipFill>
                  <pic:spPr bwMode="auto">
                    <a:xfrm>
                      <a:off x="0" y="0"/>
                      <a:ext cx="1600813" cy="276002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3725C" w:rsidRDefault="00B3725C" w:rsidP="00B3725C">
      <w:pPr>
        <w:spacing w:after="0" w:line="240" w:lineRule="auto"/>
        <w:jc w:val="center"/>
        <w:rPr>
          <w:rFonts w:cs="Times New Roman"/>
          <w:sz w:val="20"/>
          <w:szCs w:val="20"/>
        </w:rPr>
      </w:pPr>
      <w:r w:rsidRPr="001F4581">
        <w:rPr>
          <w:rFonts w:cs="Times New Roman"/>
          <w:noProof/>
          <w:sz w:val="20"/>
          <w:szCs w:val="20"/>
        </w:rPr>
        <w:t>E. Forni</w:t>
      </w:r>
      <w:r w:rsidRPr="001F4581">
        <w:rPr>
          <w:rFonts w:cs="Times New Roman"/>
          <w:noProof/>
          <w:sz w:val="20"/>
          <w:szCs w:val="20"/>
          <w:vertAlign w:val="superscript"/>
        </w:rPr>
        <w:t>(1)</w:t>
      </w:r>
      <w:r w:rsidRPr="001F4581">
        <w:rPr>
          <w:rFonts w:cs="Times New Roman"/>
          <w:noProof/>
          <w:sz w:val="20"/>
          <w:szCs w:val="20"/>
        </w:rPr>
        <w:t>, K. Dainou</w:t>
      </w:r>
      <w:r w:rsidRPr="001F4581">
        <w:rPr>
          <w:rFonts w:cs="Times New Roman"/>
          <w:noProof/>
          <w:sz w:val="20"/>
          <w:szCs w:val="20"/>
          <w:vertAlign w:val="superscript"/>
        </w:rPr>
        <w:t>(2,3)</w:t>
      </w:r>
      <w:r w:rsidRPr="001F4581">
        <w:rPr>
          <w:rFonts w:cs="Times New Roman"/>
          <w:noProof/>
          <w:sz w:val="20"/>
          <w:szCs w:val="20"/>
        </w:rPr>
        <w:t xml:space="preserve"> S. Gourlet-Fleury</w:t>
      </w:r>
      <w:r w:rsidRPr="001F4581">
        <w:rPr>
          <w:rFonts w:cs="Times New Roman"/>
          <w:noProof/>
          <w:sz w:val="20"/>
          <w:szCs w:val="20"/>
          <w:vertAlign w:val="superscript"/>
        </w:rPr>
        <w:t>(1)</w:t>
      </w:r>
      <w:r w:rsidRPr="001F4581">
        <w:rPr>
          <w:rFonts w:cs="Times New Roman"/>
          <w:noProof/>
          <w:sz w:val="20"/>
          <w:szCs w:val="20"/>
        </w:rPr>
        <w:t>, S. Bauwens</w:t>
      </w:r>
      <w:r w:rsidRPr="001F4581">
        <w:rPr>
          <w:rFonts w:cs="Times New Roman"/>
          <w:noProof/>
          <w:sz w:val="20"/>
          <w:szCs w:val="20"/>
          <w:vertAlign w:val="superscript"/>
        </w:rPr>
        <w:t>(3)</w:t>
      </w:r>
      <w:r w:rsidRPr="001F4581">
        <w:rPr>
          <w:rFonts w:cs="Times New Roman"/>
          <w:noProof/>
          <w:sz w:val="20"/>
          <w:szCs w:val="20"/>
        </w:rPr>
        <w:t xml:space="preserve">, </w:t>
      </w:r>
      <w:r>
        <w:rPr>
          <w:rFonts w:cs="Times New Roman"/>
          <w:noProof/>
          <w:sz w:val="20"/>
          <w:szCs w:val="20"/>
        </w:rPr>
        <w:t>V. Feycon</w:t>
      </w:r>
      <w:r w:rsidRPr="001F4581">
        <w:rPr>
          <w:rFonts w:cs="Times New Roman"/>
          <w:noProof/>
          <w:sz w:val="20"/>
          <w:szCs w:val="20"/>
          <w:vertAlign w:val="superscript"/>
        </w:rPr>
        <w:t>(1)</w:t>
      </w:r>
      <w:r>
        <w:rPr>
          <w:rFonts w:cs="Times New Roman"/>
          <w:noProof/>
          <w:sz w:val="20"/>
          <w:szCs w:val="20"/>
        </w:rPr>
        <w:t xml:space="preserve">, </w:t>
      </w:r>
      <w:r w:rsidRPr="001F4581">
        <w:rPr>
          <w:rFonts w:cs="Times New Roman"/>
          <w:noProof/>
          <w:sz w:val="20"/>
          <w:szCs w:val="20"/>
        </w:rPr>
        <w:t>C. Bracke</w:t>
      </w:r>
      <w:r w:rsidRPr="001F4581">
        <w:rPr>
          <w:rFonts w:cs="Times New Roman"/>
          <w:noProof/>
          <w:sz w:val="20"/>
          <w:szCs w:val="20"/>
          <w:vertAlign w:val="superscript"/>
        </w:rPr>
        <w:t>(2)</w:t>
      </w:r>
      <w:r w:rsidRPr="001F4581">
        <w:rPr>
          <w:rFonts w:cs="Times New Roman"/>
          <w:noProof/>
          <w:sz w:val="20"/>
          <w:szCs w:val="20"/>
        </w:rPr>
        <w:t>, et JL. Doucet</w:t>
      </w:r>
      <w:r w:rsidRPr="001F4581">
        <w:rPr>
          <w:rFonts w:cs="Times New Roman"/>
          <w:noProof/>
          <w:sz w:val="20"/>
          <w:szCs w:val="20"/>
          <w:vertAlign w:val="superscript"/>
        </w:rPr>
        <w:t>(2,3)</w:t>
      </w:r>
    </w:p>
    <w:tbl>
      <w:tblPr>
        <w:tblStyle w:val="Grilledutableau1"/>
        <w:tblpPr w:leftFromText="141" w:rightFromText="141" w:vertAnchor="page" w:horzAnchor="margin" w:tblpXSpec="center" w:tblpY="10941"/>
        <w:tblW w:w="97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6"/>
        <w:gridCol w:w="3216"/>
        <w:gridCol w:w="1636"/>
        <w:gridCol w:w="2236"/>
        <w:gridCol w:w="2476"/>
      </w:tblGrid>
      <w:tr w:rsidR="00B3725C" w:rsidTr="006A1CB1">
        <w:trPr>
          <w:trHeight w:val="1411"/>
          <w:jc w:val="center"/>
        </w:trPr>
        <w:tc>
          <w:tcPr>
            <w:tcW w:w="1427" w:type="dxa"/>
          </w:tcPr>
          <w:p w:rsidR="00B3725C" w:rsidRPr="00CD1655" w:rsidRDefault="00B3725C" w:rsidP="006A1CB1">
            <w:pPr>
              <w:pStyle w:val="Corpsdetexte2"/>
              <w:spacing w:after="0" w:line="276" w:lineRule="auto"/>
              <w:ind w:firstLine="0"/>
              <w:rPr>
                <w:rFonts w:ascii="Times New Roman" w:eastAsiaTheme="majorEastAsia" w:hAnsi="Times New Roman" w:cstheme="majorBidi"/>
                <w:noProof/>
                <w:u w:val="none"/>
                <w:lang w:val="fr-FR" w:bidi="ar-SA"/>
              </w:rPr>
            </w:pPr>
            <w:r w:rsidRPr="00CD1655">
              <w:rPr>
                <w:rFonts w:ascii="Times New Roman" w:eastAsiaTheme="majorEastAsia" w:hAnsi="Times New Roman" w:cstheme="majorBidi"/>
                <w:noProof/>
                <w:u w:val="none"/>
                <w:lang w:bidi="ar-SA"/>
              </w:rPr>
              <w:drawing>
                <wp:anchor distT="0" distB="0" distL="114300" distR="114300" simplePos="0" relativeHeight="251670528" behindDoc="0" locked="0" layoutInCell="1" allowOverlap="1">
                  <wp:simplePos x="0" y="0"/>
                  <wp:positionH relativeFrom="margin">
                    <wp:posOffset>170815</wp:posOffset>
                  </wp:positionH>
                  <wp:positionV relativeFrom="margin">
                    <wp:align>top</wp:align>
                  </wp:positionV>
                  <wp:extent cx="733425" cy="736600"/>
                  <wp:effectExtent l="19050" t="0" r="9525" b="0"/>
                  <wp:wrapSquare wrapText="bothSides"/>
                  <wp:docPr id="62" name="Image 22" descr="Logo_Pall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descr="Logo_Pallisco"/>
                          <pic:cNvPicPr>
                            <a:picLocks noChangeAspect="1" noChangeArrowheads="1"/>
                          </pic:cNvPicPr>
                        </pic:nvPicPr>
                        <pic:blipFill>
                          <a:blip r:embed="rId8" cstate="print"/>
                          <a:srcRect/>
                          <a:stretch>
                            <a:fillRect/>
                          </a:stretch>
                        </pic:blipFill>
                        <pic:spPr bwMode="auto">
                          <a:xfrm>
                            <a:off x="0" y="0"/>
                            <a:ext cx="733425" cy="736600"/>
                          </a:xfrm>
                          <a:prstGeom prst="rect">
                            <a:avLst/>
                          </a:prstGeom>
                          <a:noFill/>
                          <a:ln w="9525">
                            <a:noFill/>
                            <a:miter lim="800000"/>
                            <a:headEnd/>
                            <a:tailEnd/>
                          </a:ln>
                        </pic:spPr>
                      </pic:pic>
                    </a:graphicData>
                  </a:graphic>
                </wp:anchor>
              </w:drawing>
            </w:r>
          </w:p>
        </w:tc>
        <w:tc>
          <w:tcPr>
            <w:tcW w:w="2637" w:type="dxa"/>
          </w:tcPr>
          <w:p w:rsidR="00B3725C" w:rsidRPr="00CD1655" w:rsidRDefault="00B3725C" w:rsidP="006A1CB1">
            <w:pPr>
              <w:pStyle w:val="Corpsdetexte2"/>
              <w:spacing w:after="0" w:line="276" w:lineRule="auto"/>
              <w:ind w:firstLine="0"/>
              <w:rPr>
                <w:rFonts w:ascii="Times New Roman" w:eastAsiaTheme="majorEastAsia" w:hAnsi="Times New Roman" w:cstheme="majorBidi"/>
                <w:noProof/>
                <w:u w:val="none"/>
                <w:lang w:val="fr-FR" w:bidi="ar-SA"/>
              </w:rPr>
            </w:pPr>
            <w:r w:rsidRPr="00CD1655">
              <w:rPr>
                <w:rFonts w:ascii="Times New Roman" w:eastAsiaTheme="majorEastAsia" w:hAnsi="Times New Roman" w:cstheme="majorBidi"/>
                <w:noProof/>
                <w:u w:val="none"/>
                <w:lang w:bidi="ar-SA"/>
              </w:rPr>
              <w:drawing>
                <wp:anchor distT="0" distB="0" distL="114300" distR="114300" simplePos="0" relativeHeight="251668480" behindDoc="0" locked="0" layoutInCell="1" allowOverlap="1">
                  <wp:simplePos x="0" y="0"/>
                  <wp:positionH relativeFrom="margin">
                    <wp:align>center</wp:align>
                  </wp:positionH>
                  <wp:positionV relativeFrom="margin">
                    <wp:align>top</wp:align>
                  </wp:positionV>
                  <wp:extent cx="1885950" cy="641350"/>
                  <wp:effectExtent l="19050" t="0" r="0" b="0"/>
                  <wp:wrapSquare wrapText="bothSides"/>
                  <wp:docPr id="63" name="Image 1" descr="Wijma Camero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jma Cameroun"/>
                          <pic:cNvPicPr>
                            <a:picLocks noChangeAspect="1" noChangeArrowheads="1"/>
                          </pic:cNvPicPr>
                        </pic:nvPicPr>
                        <pic:blipFill>
                          <a:blip r:embed="rId9" cstate="print"/>
                          <a:srcRect/>
                          <a:stretch>
                            <a:fillRect/>
                          </a:stretch>
                        </pic:blipFill>
                        <pic:spPr bwMode="auto">
                          <a:xfrm>
                            <a:off x="0" y="0"/>
                            <a:ext cx="1885950" cy="638175"/>
                          </a:xfrm>
                          <a:prstGeom prst="rect">
                            <a:avLst/>
                          </a:prstGeom>
                          <a:noFill/>
                          <a:ln w="9525">
                            <a:noFill/>
                            <a:miter lim="800000"/>
                            <a:headEnd/>
                            <a:tailEnd/>
                          </a:ln>
                        </pic:spPr>
                      </pic:pic>
                    </a:graphicData>
                  </a:graphic>
                </wp:anchor>
              </w:drawing>
            </w:r>
          </w:p>
        </w:tc>
        <w:tc>
          <w:tcPr>
            <w:tcW w:w="1354" w:type="dxa"/>
          </w:tcPr>
          <w:p w:rsidR="00B3725C" w:rsidRDefault="00B3725C" w:rsidP="006A1CB1">
            <w:pPr>
              <w:pStyle w:val="Corpsdetexte2"/>
              <w:spacing w:after="0" w:line="276" w:lineRule="auto"/>
              <w:ind w:firstLine="0"/>
              <w:rPr>
                <w:rFonts w:ascii="Times New Roman" w:eastAsiaTheme="majorEastAsia" w:hAnsi="Times New Roman" w:cstheme="majorBidi"/>
                <w:u w:val="none"/>
                <w:lang w:val="fr-BE"/>
              </w:rPr>
            </w:pPr>
            <w:r w:rsidRPr="000C3476">
              <w:rPr>
                <w:rFonts w:ascii="Times New Roman" w:eastAsiaTheme="majorEastAsia" w:hAnsi="Times New Roman" w:cstheme="majorBidi"/>
                <w:noProof/>
                <w:u w:val="none"/>
                <w:lang w:bidi="ar-SA"/>
              </w:rPr>
              <w:drawing>
                <wp:anchor distT="0" distB="0" distL="114300" distR="114300" simplePos="0" relativeHeight="251661312" behindDoc="0" locked="0" layoutInCell="1" allowOverlap="1">
                  <wp:simplePos x="0" y="0"/>
                  <wp:positionH relativeFrom="margin">
                    <wp:posOffset>-43180</wp:posOffset>
                  </wp:positionH>
                  <wp:positionV relativeFrom="margin">
                    <wp:posOffset>57150</wp:posOffset>
                  </wp:positionV>
                  <wp:extent cx="882650" cy="622300"/>
                  <wp:effectExtent l="19050" t="0" r="0" b="0"/>
                  <wp:wrapSquare wrapText="bothSides"/>
                  <wp:docPr id="96" name="Image 1" descr="Description : logo-atibt-trac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logo-atibt-tracing-2"/>
                          <pic:cNvPicPr>
                            <a:picLocks noChangeAspect="1" noChangeArrowheads="1"/>
                          </pic:cNvPicPr>
                        </pic:nvPicPr>
                        <pic:blipFill>
                          <a:blip r:embed="rId10" cstate="print"/>
                          <a:srcRect/>
                          <a:stretch>
                            <a:fillRect/>
                          </a:stretch>
                        </pic:blipFill>
                        <pic:spPr bwMode="auto">
                          <a:xfrm>
                            <a:off x="0" y="0"/>
                            <a:ext cx="882650" cy="622300"/>
                          </a:xfrm>
                          <a:prstGeom prst="rect">
                            <a:avLst/>
                          </a:prstGeom>
                          <a:noFill/>
                          <a:ln w="9525">
                            <a:noFill/>
                            <a:miter lim="800000"/>
                            <a:headEnd/>
                            <a:tailEnd/>
                          </a:ln>
                        </pic:spPr>
                      </pic:pic>
                    </a:graphicData>
                  </a:graphic>
                </wp:anchor>
              </w:drawing>
            </w:r>
          </w:p>
        </w:tc>
        <w:tc>
          <w:tcPr>
            <w:tcW w:w="1838" w:type="dxa"/>
          </w:tcPr>
          <w:p w:rsidR="00B3725C" w:rsidRDefault="00B3725C" w:rsidP="006A1CB1">
            <w:pPr>
              <w:pStyle w:val="Corpsdetexte2"/>
              <w:spacing w:after="0" w:line="276" w:lineRule="auto"/>
              <w:ind w:firstLine="0"/>
              <w:rPr>
                <w:rFonts w:ascii="Times New Roman" w:eastAsiaTheme="majorEastAsia" w:hAnsi="Times New Roman" w:cstheme="majorBidi"/>
                <w:u w:val="none"/>
                <w:lang w:val="fr-BE"/>
              </w:rPr>
            </w:pPr>
            <w:r w:rsidRPr="000C3476">
              <w:rPr>
                <w:rFonts w:ascii="Times New Roman" w:eastAsiaTheme="majorEastAsia" w:hAnsi="Times New Roman" w:cstheme="majorBidi"/>
                <w:noProof/>
                <w:u w:val="none"/>
                <w:lang w:bidi="ar-SA"/>
              </w:rPr>
              <w:drawing>
                <wp:anchor distT="0" distB="0" distL="114300" distR="114300" simplePos="0" relativeHeight="251662336" behindDoc="0" locked="0" layoutInCell="1" allowOverlap="1">
                  <wp:simplePos x="0" y="0"/>
                  <wp:positionH relativeFrom="margin">
                    <wp:align>center</wp:align>
                  </wp:positionH>
                  <wp:positionV relativeFrom="margin">
                    <wp:posOffset>146050</wp:posOffset>
                  </wp:positionV>
                  <wp:extent cx="1263650" cy="419100"/>
                  <wp:effectExtent l="19050" t="0" r="0" b="0"/>
                  <wp:wrapSquare wrapText="bothSides"/>
                  <wp:docPr id="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263650" cy="419100"/>
                          </a:xfrm>
                          <a:prstGeom prst="rect">
                            <a:avLst/>
                          </a:prstGeom>
                          <a:noFill/>
                          <a:ln w="9525">
                            <a:noFill/>
                            <a:miter lim="800000"/>
                            <a:headEnd/>
                            <a:tailEnd/>
                          </a:ln>
                        </pic:spPr>
                      </pic:pic>
                    </a:graphicData>
                  </a:graphic>
                </wp:anchor>
              </w:drawing>
            </w:r>
          </w:p>
        </w:tc>
        <w:tc>
          <w:tcPr>
            <w:tcW w:w="2491" w:type="dxa"/>
          </w:tcPr>
          <w:p w:rsidR="00B3725C" w:rsidRDefault="00B3725C" w:rsidP="006A1CB1">
            <w:pPr>
              <w:pStyle w:val="Corpsdetexte2"/>
              <w:spacing w:after="0" w:line="276" w:lineRule="auto"/>
              <w:ind w:firstLine="0"/>
              <w:rPr>
                <w:rFonts w:ascii="Times New Roman" w:eastAsiaTheme="majorEastAsia" w:hAnsi="Times New Roman" w:cstheme="majorBidi"/>
                <w:u w:val="none"/>
                <w:lang w:val="fr-BE"/>
              </w:rPr>
            </w:pPr>
            <w:r w:rsidRPr="000C3476">
              <w:rPr>
                <w:rFonts w:ascii="Times New Roman" w:eastAsiaTheme="majorEastAsia" w:hAnsi="Times New Roman" w:cstheme="majorBidi"/>
                <w:noProof/>
                <w:u w:val="none"/>
                <w:lang w:bidi="ar-SA"/>
              </w:rPr>
              <w:drawing>
                <wp:anchor distT="0" distB="0" distL="114300" distR="114300" simplePos="0" relativeHeight="251663360" behindDoc="0" locked="0" layoutInCell="1" allowOverlap="1">
                  <wp:simplePos x="0" y="0"/>
                  <wp:positionH relativeFrom="margin">
                    <wp:posOffset>130175</wp:posOffset>
                  </wp:positionH>
                  <wp:positionV relativeFrom="margin">
                    <wp:align>top</wp:align>
                  </wp:positionV>
                  <wp:extent cx="962025" cy="965200"/>
                  <wp:effectExtent l="19050" t="0" r="9525" b="0"/>
                  <wp:wrapSquare wrapText="bothSides"/>
                  <wp:docPr id="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cstate="print"/>
                          <a:srcRect/>
                          <a:stretch>
                            <a:fillRect/>
                          </a:stretch>
                        </pic:blipFill>
                        <pic:spPr bwMode="auto">
                          <a:xfrm>
                            <a:off x="0" y="0"/>
                            <a:ext cx="962025" cy="965200"/>
                          </a:xfrm>
                          <a:prstGeom prst="rect">
                            <a:avLst/>
                          </a:prstGeom>
                          <a:noFill/>
                          <a:ln w="9525">
                            <a:noFill/>
                            <a:miter lim="800000"/>
                            <a:headEnd/>
                            <a:tailEnd/>
                          </a:ln>
                        </pic:spPr>
                      </pic:pic>
                    </a:graphicData>
                  </a:graphic>
                </wp:anchor>
              </w:drawing>
            </w:r>
          </w:p>
        </w:tc>
      </w:tr>
      <w:tr w:rsidR="00B3725C" w:rsidTr="006A1CB1">
        <w:trPr>
          <w:trHeight w:val="1409"/>
          <w:jc w:val="center"/>
        </w:trPr>
        <w:tc>
          <w:tcPr>
            <w:tcW w:w="1427" w:type="dxa"/>
          </w:tcPr>
          <w:p w:rsidR="00B3725C" w:rsidRPr="00CD1655" w:rsidRDefault="00B3725C" w:rsidP="006A1CB1">
            <w:pPr>
              <w:pStyle w:val="Corpsdetexte2"/>
              <w:spacing w:after="0" w:line="276" w:lineRule="auto"/>
              <w:ind w:firstLine="0"/>
              <w:rPr>
                <w:rFonts w:ascii="Times New Roman" w:eastAsiaTheme="majorEastAsia" w:hAnsi="Times New Roman" w:cstheme="majorBidi"/>
                <w:noProof/>
                <w:u w:val="none"/>
                <w:lang w:val="fr-FR" w:bidi="ar-SA"/>
              </w:rPr>
            </w:pPr>
            <w:r w:rsidRPr="00CD1655">
              <w:rPr>
                <w:rFonts w:ascii="Times New Roman" w:eastAsiaTheme="majorEastAsia" w:hAnsi="Times New Roman" w:cstheme="majorBidi"/>
                <w:noProof/>
                <w:u w:val="none"/>
                <w:lang w:bidi="ar-SA"/>
              </w:rPr>
              <w:drawing>
                <wp:anchor distT="0" distB="0" distL="114300" distR="114300" simplePos="0" relativeHeight="251671552" behindDoc="0" locked="0" layoutInCell="1" allowOverlap="1">
                  <wp:simplePos x="0" y="0"/>
                  <wp:positionH relativeFrom="margin">
                    <wp:posOffset>94615</wp:posOffset>
                  </wp:positionH>
                  <wp:positionV relativeFrom="margin">
                    <wp:align>top</wp:align>
                  </wp:positionV>
                  <wp:extent cx="927100" cy="774700"/>
                  <wp:effectExtent l="19050" t="0" r="6350" b="0"/>
                  <wp:wrapSquare wrapText="bothSides"/>
                  <wp:docPr id="99" name="Image 1" descr="S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ID"/>
                          <pic:cNvPicPr>
                            <a:picLocks noChangeAspect="1" noChangeArrowheads="1"/>
                          </pic:cNvPicPr>
                        </pic:nvPicPr>
                        <pic:blipFill>
                          <a:blip r:embed="rId13" cstate="print"/>
                          <a:srcRect/>
                          <a:stretch>
                            <a:fillRect/>
                          </a:stretch>
                        </pic:blipFill>
                        <pic:spPr bwMode="auto">
                          <a:xfrm>
                            <a:off x="0" y="0"/>
                            <a:ext cx="927100" cy="774700"/>
                          </a:xfrm>
                          <a:prstGeom prst="rect">
                            <a:avLst/>
                          </a:prstGeom>
                          <a:noFill/>
                          <a:ln w="9525">
                            <a:noFill/>
                            <a:miter lim="800000"/>
                            <a:headEnd/>
                            <a:tailEnd/>
                          </a:ln>
                        </pic:spPr>
                      </pic:pic>
                    </a:graphicData>
                  </a:graphic>
                </wp:anchor>
              </w:drawing>
            </w:r>
          </w:p>
        </w:tc>
        <w:tc>
          <w:tcPr>
            <w:tcW w:w="2637" w:type="dxa"/>
          </w:tcPr>
          <w:p w:rsidR="00B3725C" w:rsidRPr="00CD1655" w:rsidRDefault="00B3725C" w:rsidP="006A1CB1">
            <w:pPr>
              <w:pStyle w:val="Corpsdetexte2"/>
              <w:spacing w:after="0" w:line="276" w:lineRule="auto"/>
              <w:ind w:firstLine="0"/>
              <w:rPr>
                <w:rFonts w:ascii="Times New Roman" w:eastAsiaTheme="majorEastAsia" w:hAnsi="Times New Roman" w:cstheme="majorBidi"/>
                <w:noProof/>
                <w:u w:val="none"/>
                <w:lang w:val="fr-FR" w:bidi="ar-SA"/>
              </w:rPr>
            </w:pPr>
            <w:r w:rsidRPr="00CD1655">
              <w:rPr>
                <w:rFonts w:ascii="Times New Roman" w:eastAsiaTheme="majorEastAsia" w:hAnsi="Times New Roman" w:cstheme="majorBidi"/>
                <w:noProof/>
                <w:u w:val="none"/>
                <w:lang w:bidi="ar-SA"/>
              </w:rPr>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1059815" cy="755650"/>
                  <wp:effectExtent l="19050" t="0" r="6985" b="0"/>
                  <wp:wrapSquare wrapText="bothSides"/>
                  <wp:docPr id="100" name="Image 1" descr="Precious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ous Woods"/>
                          <pic:cNvPicPr>
                            <a:picLocks noChangeAspect="1" noChangeArrowheads="1"/>
                          </pic:cNvPicPr>
                        </pic:nvPicPr>
                        <pic:blipFill>
                          <a:blip r:embed="rId14" cstate="print"/>
                          <a:srcRect/>
                          <a:stretch>
                            <a:fillRect/>
                          </a:stretch>
                        </pic:blipFill>
                        <pic:spPr bwMode="auto">
                          <a:xfrm>
                            <a:off x="0" y="0"/>
                            <a:ext cx="1059815" cy="755650"/>
                          </a:xfrm>
                          <a:prstGeom prst="rect">
                            <a:avLst/>
                          </a:prstGeom>
                          <a:noFill/>
                          <a:ln w="9525">
                            <a:noFill/>
                            <a:miter lim="800000"/>
                            <a:headEnd/>
                            <a:tailEnd/>
                          </a:ln>
                        </pic:spPr>
                      </pic:pic>
                    </a:graphicData>
                  </a:graphic>
                </wp:anchor>
              </w:drawing>
            </w:r>
          </w:p>
        </w:tc>
        <w:tc>
          <w:tcPr>
            <w:tcW w:w="1354" w:type="dxa"/>
          </w:tcPr>
          <w:p w:rsidR="00B3725C" w:rsidRDefault="00B3725C" w:rsidP="006A1CB1">
            <w:pPr>
              <w:pStyle w:val="Corpsdetexte2"/>
              <w:spacing w:after="0" w:line="276" w:lineRule="auto"/>
              <w:ind w:firstLine="0"/>
              <w:rPr>
                <w:rFonts w:ascii="Times New Roman" w:eastAsiaTheme="majorEastAsia" w:hAnsi="Times New Roman" w:cstheme="majorBidi"/>
                <w:u w:val="none"/>
                <w:lang w:val="fr-BE"/>
              </w:rPr>
            </w:pPr>
            <w:r>
              <w:rPr>
                <w:rFonts w:ascii="Times New Roman" w:eastAsiaTheme="majorEastAsia" w:hAnsi="Times New Roman" w:cstheme="majorBidi"/>
                <w:noProof/>
                <w:u w:val="none"/>
                <w:lang w:bidi="ar-SA"/>
              </w:rPr>
              <w:drawing>
                <wp:anchor distT="0" distB="0" distL="114300" distR="114300" simplePos="0" relativeHeight="251667456" behindDoc="0" locked="0" layoutInCell="1" allowOverlap="1">
                  <wp:simplePos x="0" y="0"/>
                  <wp:positionH relativeFrom="margin">
                    <wp:posOffset>33020</wp:posOffset>
                  </wp:positionH>
                  <wp:positionV relativeFrom="margin">
                    <wp:posOffset>601980</wp:posOffset>
                  </wp:positionV>
                  <wp:extent cx="768350" cy="266700"/>
                  <wp:effectExtent l="19050" t="0" r="0" b="0"/>
                  <wp:wrapSquare wrapText="bothSides"/>
                  <wp:docPr id="10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768350" cy="266700"/>
                          </a:xfrm>
                          <a:prstGeom prst="rect">
                            <a:avLst/>
                          </a:prstGeom>
                          <a:noFill/>
                          <a:ln w="9525">
                            <a:noFill/>
                            <a:miter lim="800000"/>
                            <a:headEnd/>
                            <a:tailEnd/>
                          </a:ln>
                        </pic:spPr>
                      </pic:pic>
                    </a:graphicData>
                  </a:graphic>
                </wp:anchor>
              </w:drawing>
            </w:r>
            <w:r>
              <w:rPr>
                <w:rFonts w:ascii="Times New Roman" w:eastAsiaTheme="majorEastAsia" w:hAnsi="Times New Roman" w:cstheme="majorBidi"/>
                <w:noProof/>
                <w:u w:val="none"/>
                <w:lang w:bidi="ar-SA"/>
              </w:rPr>
              <w:drawing>
                <wp:anchor distT="0" distB="0" distL="114300" distR="114300" simplePos="0" relativeHeight="251666432" behindDoc="0" locked="0" layoutInCell="1" allowOverlap="1">
                  <wp:simplePos x="0" y="0"/>
                  <wp:positionH relativeFrom="margin">
                    <wp:posOffset>-17780</wp:posOffset>
                  </wp:positionH>
                  <wp:positionV relativeFrom="margin">
                    <wp:posOffset>55880</wp:posOffset>
                  </wp:positionV>
                  <wp:extent cx="844550" cy="546100"/>
                  <wp:effectExtent l="19050" t="0" r="0" b="0"/>
                  <wp:wrapSquare wrapText="bothSides"/>
                  <wp:docPr id="1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844550" cy="546100"/>
                          </a:xfrm>
                          <a:prstGeom prst="rect">
                            <a:avLst/>
                          </a:prstGeom>
                          <a:noFill/>
                          <a:ln w="9525">
                            <a:noFill/>
                            <a:miter lim="800000"/>
                            <a:headEnd/>
                            <a:tailEnd/>
                          </a:ln>
                        </pic:spPr>
                      </pic:pic>
                    </a:graphicData>
                  </a:graphic>
                </wp:anchor>
              </w:drawing>
            </w:r>
          </w:p>
        </w:tc>
        <w:tc>
          <w:tcPr>
            <w:tcW w:w="1838" w:type="dxa"/>
          </w:tcPr>
          <w:p w:rsidR="00B3725C" w:rsidRDefault="00B3725C" w:rsidP="006A1CB1">
            <w:pPr>
              <w:pStyle w:val="Corpsdetexte2"/>
              <w:spacing w:after="0" w:line="276" w:lineRule="auto"/>
              <w:ind w:firstLine="0"/>
              <w:rPr>
                <w:rFonts w:ascii="Times New Roman" w:eastAsiaTheme="majorEastAsia" w:hAnsi="Times New Roman" w:cstheme="majorBidi"/>
                <w:u w:val="none"/>
                <w:lang w:val="fr-BE"/>
              </w:rPr>
            </w:pPr>
            <w:r w:rsidRPr="000C3476">
              <w:rPr>
                <w:rFonts w:ascii="Times New Roman" w:eastAsiaTheme="majorEastAsia" w:hAnsi="Times New Roman" w:cstheme="majorBidi"/>
                <w:noProof/>
                <w:u w:val="none"/>
                <w:lang w:bidi="ar-SA"/>
              </w:rPr>
              <w:drawing>
                <wp:anchor distT="0" distB="0" distL="114300" distR="114300" simplePos="0" relativeHeight="251665408" behindDoc="0" locked="0" layoutInCell="1" allowOverlap="1">
                  <wp:simplePos x="0" y="0"/>
                  <wp:positionH relativeFrom="margin">
                    <wp:align>center</wp:align>
                  </wp:positionH>
                  <wp:positionV relativeFrom="margin">
                    <wp:align>top</wp:align>
                  </wp:positionV>
                  <wp:extent cx="848995" cy="685800"/>
                  <wp:effectExtent l="19050" t="0" r="8255" b="0"/>
                  <wp:wrapSquare wrapText="bothSides"/>
                  <wp:docPr id="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848995" cy="685800"/>
                          </a:xfrm>
                          <a:prstGeom prst="rect">
                            <a:avLst/>
                          </a:prstGeom>
                          <a:noFill/>
                          <a:ln w="9525">
                            <a:noFill/>
                            <a:miter lim="800000"/>
                            <a:headEnd/>
                            <a:tailEnd/>
                          </a:ln>
                        </pic:spPr>
                      </pic:pic>
                    </a:graphicData>
                  </a:graphic>
                </wp:anchor>
              </w:drawing>
            </w:r>
          </w:p>
        </w:tc>
        <w:tc>
          <w:tcPr>
            <w:tcW w:w="2491" w:type="dxa"/>
          </w:tcPr>
          <w:p w:rsidR="00B3725C" w:rsidRDefault="00B3725C" w:rsidP="006A1CB1">
            <w:pPr>
              <w:pStyle w:val="Corpsdetexte2"/>
              <w:spacing w:after="0" w:line="276" w:lineRule="auto"/>
              <w:ind w:firstLine="0"/>
              <w:rPr>
                <w:rFonts w:ascii="Times New Roman" w:eastAsiaTheme="majorEastAsia" w:hAnsi="Times New Roman" w:cstheme="majorBidi"/>
                <w:u w:val="none"/>
                <w:lang w:val="fr-BE"/>
              </w:rPr>
            </w:pPr>
            <w:r w:rsidRPr="000C3476">
              <w:rPr>
                <w:rFonts w:ascii="Times New Roman" w:eastAsiaTheme="majorEastAsia" w:hAnsi="Times New Roman" w:cstheme="majorBidi"/>
                <w:noProof/>
                <w:u w:val="none"/>
                <w:lang w:bidi="ar-SA"/>
              </w:rPr>
              <w:drawing>
                <wp:anchor distT="0" distB="0" distL="114300" distR="114300" simplePos="0" relativeHeight="251664384" behindDoc="0" locked="0" layoutInCell="1" allowOverlap="1">
                  <wp:simplePos x="0" y="0"/>
                  <wp:positionH relativeFrom="margin">
                    <wp:posOffset>-22225</wp:posOffset>
                  </wp:positionH>
                  <wp:positionV relativeFrom="margin">
                    <wp:posOffset>217805</wp:posOffset>
                  </wp:positionV>
                  <wp:extent cx="1416050" cy="469900"/>
                  <wp:effectExtent l="19050" t="0" r="0" b="0"/>
                  <wp:wrapSquare wrapText="bothSides"/>
                  <wp:docPr id="1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416050" cy="469900"/>
                          </a:xfrm>
                          <a:prstGeom prst="rect">
                            <a:avLst/>
                          </a:prstGeom>
                          <a:noFill/>
                          <a:ln w="9525">
                            <a:noFill/>
                            <a:miter lim="800000"/>
                            <a:headEnd/>
                            <a:tailEnd/>
                          </a:ln>
                        </pic:spPr>
                      </pic:pic>
                    </a:graphicData>
                  </a:graphic>
                </wp:anchor>
              </w:drawing>
            </w:r>
          </w:p>
        </w:tc>
      </w:tr>
    </w:tbl>
    <w:p w:rsidR="00B3725C" w:rsidRDefault="00B3725C" w:rsidP="00B3725C">
      <w:pPr>
        <w:spacing w:after="0" w:line="240" w:lineRule="auto"/>
        <w:rPr>
          <w:rFonts w:cs="Times New Roman"/>
          <w:sz w:val="20"/>
          <w:szCs w:val="20"/>
        </w:rPr>
      </w:pPr>
    </w:p>
    <w:p w:rsidR="00B3725C" w:rsidRPr="00310203" w:rsidRDefault="00B3725C" w:rsidP="00B3725C">
      <w:pPr>
        <w:spacing w:after="0" w:line="240" w:lineRule="auto"/>
        <w:rPr>
          <w:sz w:val="20"/>
          <w:szCs w:val="20"/>
        </w:rPr>
      </w:pPr>
      <w:r>
        <w:rPr>
          <w:sz w:val="20"/>
          <w:szCs w:val="20"/>
        </w:rPr>
        <w:t xml:space="preserve"> </w:t>
      </w:r>
      <w:r w:rsidRPr="00310203">
        <w:rPr>
          <w:sz w:val="20"/>
          <w:szCs w:val="20"/>
        </w:rPr>
        <w:t>(</w:t>
      </w:r>
      <w:r>
        <w:rPr>
          <w:sz w:val="20"/>
          <w:szCs w:val="20"/>
        </w:rPr>
        <w:t>1</w:t>
      </w:r>
      <w:r w:rsidRPr="00310203">
        <w:rPr>
          <w:sz w:val="20"/>
          <w:szCs w:val="20"/>
        </w:rPr>
        <w:t xml:space="preserve">) </w:t>
      </w:r>
      <w:proofErr w:type="spellStart"/>
      <w:r w:rsidRPr="00310203">
        <w:rPr>
          <w:sz w:val="20"/>
          <w:szCs w:val="20"/>
        </w:rPr>
        <w:t>Cirad</w:t>
      </w:r>
      <w:proofErr w:type="spellEnd"/>
      <w:r w:rsidRPr="00310203">
        <w:rPr>
          <w:sz w:val="20"/>
          <w:szCs w:val="20"/>
        </w:rPr>
        <w:t xml:space="preserve">, Campus International de </w:t>
      </w:r>
      <w:proofErr w:type="spellStart"/>
      <w:r w:rsidRPr="00310203">
        <w:rPr>
          <w:sz w:val="20"/>
          <w:szCs w:val="20"/>
        </w:rPr>
        <w:t>Baillarguet</w:t>
      </w:r>
      <w:proofErr w:type="spellEnd"/>
      <w:r w:rsidRPr="00310203">
        <w:rPr>
          <w:sz w:val="20"/>
          <w:szCs w:val="20"/>
        </w:rPr>
        <w:t>, TA C/DIR-B, 34398 Montpellier cedex 5, France</w:t>
      </w:r>
    </w:p>
    <w:p w:rsidR="00B3725C" w:rsidRPr="00310203" w:rsidRDefault="00B3725C" w:rsidP="00B3725C">
      <w:pPr>
        <w:spacing w:after="0" w:line="240" w:lineRule="auto"/>
        <w:rPr>
          <w:rFonts w:cs="Times New Roman"/>
          <w:sz w:val="20"/>
          <w:szCs w:val="20"/>
        </w:rPr>
      </w:pPr>
      <w:r w:rsidRPr="00310203">
        <w:rPr>
          <w:rFonts w:cs="Times New Roman"/>
          <w:sz w:val="20"/>
          <w:szCs w:val="20"/>
        </w:rPr>
        <w:t xml:space="preserve"> (</w:t>
      </w:r>
      <w:r>
        <w:rPr>
          <w:rFonts w:cs="Times New Roman"/>
          <w:sz w:val="20"/>
          <w:szCs w:val="20"/>
        </w:rPr>
        <w:t>2</w:t>
      </w:r>
      <w:r w:rsidRPr="00310203">
        <w:rPr>
          <w:rFonts w:cs="Times New Roman"/>
          <w:sz w:val="20"/>
          <w:szCs w:val="20"/>
        </w:rPr>
        <w:t xml:space="preserve">) Nature+ </w:t>
      </w:r>
      <w:proofErr w:type="spellStart"/>
      <w:r w:rsidRPr="00310203">
        <w:rPr>
          <w:rFonts w:cs="Times New Roman"/>
          <w:sz w:val="20"/>
          <w:szCs w:val="20"/>
        </w:rPr>
        <w:t>asbl</w:t>
      </w:r>
      <w:proofErr w:type="spellEnd"/>
      <w:r w:rsidRPr="00310203">
        <w:rPr>
          <w:rFonts w:cs="Times New Roman"/>
          <w:sz w:val="20"/>
          <w:szCs w:val="20"/>
        </w:rPr>
        <w:t xml:space="preserve">, Rue Bourgmestre </w:t>
      </w:r>
      <w:proofErr w:type="spellStart"/>
      <w:r w:rsidRPr="00310203">
        <w:rPr>
          <w:rFonts w:cs="Times New Roman"/>
          <w:sz w:val="20"/>
          <w:szCs w:val="20"/>
        </w:rPr>
        <w:t>Gilisquet</w:t>
      </w:r>
      <w:proofErr w:type="spellEnd"/>
      <w:r w:rsidRPr="00310203">
        <w:rPr>
          <w:rFonts w:cs="Times New Roman"/>
          <w:sz w:val="20"/>
          <w:szCs w:val="20"/>
        </w:rPr>
        <w:t xml:space="preserve">, 57, B-1457 </w:t>
      </w:r>
      <w:proofErr w:type="spellStart"/>
      <w:r w:rsidRPr="00310203">
        <w:rPr>
          <w:rFonts w:cs="Times New Roman"/>
          <w:sz w:val="20"/>
          <w:szCs w:val="20"/>
        </w:rPr>
        <w:t>Walhain</w:t>
      </w:r>
      <w:proofErr w:type="spellEnd"/>
      <w:r w:rsidRPr="00310203">
        <w:rPr>
          <w:rFonts w:cs="Times New Roman"/>
          <w:sz w:val="20"/>
          <w:szCs w:val="20"/>
        </w:rPr>
        <w:t>-St-Paul, Belgique</w:t>
      </w:r>
    </w:p>
    <w:p w:rsidR="00B3725C" w:rsidRPr="00310203" w:rsidRDefault="00B3725C" w:rsidP="00B3725C">
      <w:pPr>
        <w:spacing w:after="0" w:line="240" w:lineRule="auto"/>
        <w:rPr>
          <w:sz w:val="20"/>
          <w:szCs w:val="20"/>
        </w:rPr>
      </w:pPr>
      <w:r w:rsidRPr="00310203">
        <w:rPr>
          <w:sz w:val="20"/>
          <w:szCs w:val="20"/>
        </w:rPr>
        <w:t xml:space="preserve"> (3)</w:t>
      </w:r>
      <w:r>
        <w:rPr>
          <w:sz w:val="20"/>
          <w:szCs w:val="20"/>
        </w:rPr>
        <w:t xml:space="preserve"> </w:t>
      </w:r>
      <w:r w:rsidRPr="00310203">
        <w:rPr>
          <w:sz w:val="20"/>
          <w:szCs w:val="20"/>
        </w:rPr>
        <w:t>Université de Liège, Gembloux Agro-Bio Tec</w:t>
      </w:r>
      <w:r>
        <w:rPr>
          <w:sz w:val="20"/>
          <w:szCs w:val="20"/>
        </w:rPr>
        <w:t>h</w:t>
      </w:r>
      <w:r w:rsidRPr="00310203">
        <w:rPr>
          <w:sz w:val="20"/>
          <w:szCs w:val="20"/>
        </w:rPr>
        <w:t xml:space="preserve">, 2 </w:t>
      </w:r>
      <w:proofErr w:type="gramStart"/>
      <w:r w:rsidRPr="00310203">
        <w:rPr>
          <w:sz w:val="20"/>
          <w:szCs w:val="20"/>
        </w:rPr>
        <w:t>passage</w:t>
      </w:r>
      <w:proofErr w:type="gramEnd"/>
      <w:r w:rsidRPr="00310203">
        <w:rPr>
          <w:sz w:val="20"/>
          <w:szCs w:val="20"/>
        </w:rPr>
        <w:t xml:space="preserve"> des Déportés 5030 Gembloux, Belgique</w:t>
      </w:r>
    </w:p>
    <w:p w:rsidR="00B3725C" w:rsidRDefault="00B3725C" w:rsidP="00B3725C">
      <w:pPr>
        <w:pStyle w:val="Titre1"/>
        <w:numPr>
          <w:ilvl w:val="0"/>
          <w:numId w:val="0"/>
        </w:numPr>
        <w:ind w:left="432"/>
      </w:pPr>
      <w:r>
        <w:lastRenderedPageBreak/>
        <w:t>EXTRAIT</w:t>
      </w:r>
    </w:p>
    <w:p w:rsidR="00D26004" w:rsidRDefault="00D26004" w:rsidP="00D26004">
      <w:pPr>
        <w:pStyle w:val="Titre1"/>
      </w:pPr>
      <w:r>
        <w:t>Installation des dispositifs complets en République du Congo</w:t>
      </w:r>
      <w:bookmarkEnd w:id="0"/>
      <w:bookmarkEnd w:id="1"/>
      <w:r>
        <w:t xml:space="preserve"> </w:t>
      </w:r>
      <w:bookmarkEnd w:id="2"/>
      <w:bookmarkEnd w:id="3"/>
      <w:bookmarkEnd w:id="4"/>
    </w:p>
    <w:p w:rsidR="00D26004" w:rsidRDefault="00D26004" w:rsidP="00D26004">
      <w:bookmarkStart w:id="5" w:name="_Toc377393346"/>
      <w:bookmarkStart w:id="6" w:name="_Toc377393626"/>
      <w:bookmarkStart w:id="7" w:name="_Toc377393802"/>
      <w:bookmarkStart w:id="8" w:name="_Toc378006073"/>
    </w:p>
    <w:p w:rsidR="00D26004" w:rsidRDefault="00D26004" w:rsidP="00D26004">
      <w:pPr>
        <w:pStyle w:val="Titre2"/>
      </w:pPr>
      <w:bookmarkStart w:id="9" w:name="_Toc411780307"/>
      <w:r>
        <w:t xml:space="preserve">Résultats de la mission de </w:t>
      </w:r>
      <w:r w:rsidRPr="008560B2">
        <w:t xml:space="preserve">caractérisation pédologique des </w:t>
      </w:r>
      <w:r>
        <w:t>sites</w:t>
      </w:r>
      <w:bookmarkEnd w:id="9"/>
    </w:p>
    <w:p w:rsidR="00D26004" w:rsidRDefault="00D26004" w:rsidP="00D26004">
      <w:pPr>
        <w:rPr>
          <w:lang w:val="fr-BE" w:eastAsia="en-US"/>
        </w:rPr>
      </w:pPr>
    </w:p>
    <w:p w:rsidR="00D26004" w:rsidRDefault="00D26004" w:rsidP="00D26004">
      <w:pPr>
        <w:jc w:val="both"/>
      </w:pPr>
      <w:r>
        <w:t xml:space="preserve">L’objectif de cette mission réalisée par Vincent </w:t>
      </w:r>
      <w:proofErr w:type="spellStart"/>
      <w:r>
        <w:t>Freycon</w:t>
      </w:r>
      <w:proofErr w:type="spellEnd"/>
      <w:r>
        <w:t xml:space="preserve"> du CIRAD était de caractériser les sols des dispositifs de l’UFA de </w:t>
      </w:r>
      <w:proofErr w:type="spellStart"/>
      <w:r>
        <w:t>Loundoungou</w:t>
      </w:r>
      <w:proofErr w:type="spellEnd"/>
      <w:r>
        <w:t>-</w:t>
      </w:r>
      <w:proofErr w:type="spellStart"/>
      <w:r>
        <w:t>Toukoulaka</w:t>
      </w:r>
      <w:proofErr w:type="spellEnd"/>
      <w:r>
        <w:t xml:space="preserve"> (CIB-</w:t>
      </w:r>
      <w:proofErr w:type="spellStart"/>
      <w:r>
        <w:t>Olam</w:t>
      </w:r>
      <w:proofErr w:type="spellEnd"/>
      <w:r>
        <w:t xml:space="preserve">) et de l’UFA de </w:t>
      </w:r>
      <w:proofErr w:type="spellStart"/>
      <w:r>
        <w:t>Mokabi</w:t>
      </w:r>
      <w:proofErr w:type="spellEnd"/>
      <w:r>
        <w:t>-</w:t>
      </w:r>
      <w:proofErr w:type="spellStart"/>
      <w:r>
        <w:t>Dzanga</w:t>
      </w:r>
      <w:proofErr w:type="spellEnd"/>
      <w:r>
        <w:t xml:space="preserve"> (</w:t>
      </w:r>
      <w:proofErr w:type="spellStart"/>
      <w:r>
        <w:t>Mokabi</w:t>
      </w:r>
      <w:proofErr w:type="spellEnd"/>
      <w:r>
        <w:t xml:space="preserve"> SA). Les deux dispositifs sont situés sur deux substrats géologiques différents (alluvions pour le premier, grès de Carnot pour le second). </w:t>
      </w:r>
    </w:p>
    <w:p w:rsidR="00D26004" w:rsidRDefault="00D26004" w:rsidP="00D26004">
      <w:pPr>
        <w:jc w:val="both"/>
      </w:pPr>
      <w:r>
        <w:t xml:space="preserve">Trente-trois sondages à la tarière ont été effectués pour estimer la variabilité spatiale des sols et trois profils de sol représentatifs de ces deux sites ont été décrits. Des échantillons de sols ont aussi été prélevés en vue d’analyses physico-chimiques qui permettront de valider les observations de terrain et de classer les sols dans le système international WRB. </w:t>
      </w:r>
    </w:p>
    <w:p w:rsidR="00D26004" w:rsidRDefault="00D26004" w:rsidP="00D26004">
      <w:pPr>
        <w:jc w:val="both"/>
      </w:pPr>
      <w:r>
        <w:t xml:space="preserve">Dans les deux dispositifs a été observée une variation de la texture des sols en fonction de la topographie et de l’altitude, même à </w:t>
      </w:r>
      <w:proofErr w:type="spellStart"/>
      <w:r>
        <w:t>Mokabi</w:t>
      </w:r>
      <w:proofErr w:type="spellEnd"/>
      <w:r>
        <w:t xml:space="preserve"> où les pentes sont très faibles, ce qui suggère la présence d’un axe de drainage souterrain. La gamme de variabilité des sols de </w:t>
      </w:r>
      <w:proofErr w:type="spellStart"/>
      <w:r>
        <w:t>Loundoungou</w:t>
      </w:r>
      <w:proofErr w:type="spellEnd"/>
      <w:r>
        <w:t xml:space="preserve"> (</w:t>
      </w:r>
      <w:proofErr w:type="spellStart"/>
      <w:r>
        <w:t>Acrisol</w:t>
      </w:r>
      <w:proofErr w:type="spellEnd"/>
      <w:r>
        <w:t>-</w:t>
      </w:r>
      <w:proofErr w:type="spellStart"/>
      <w:r>
        <w:t>Arenosol</w:t>
      </w:r>
      <w:proofErr w:type="spellEnd"/>
      <w:r>
        <w:t>-</w:t>
      </w:r>
      <w:proofErr w:type="spellStart"/>
      <w:r>
        <w:t>Gleysol</w:t>
      </w:r>
      <w:proofErr w:type="spellEnd"/>
      <w:r>
        <w:t xml:space="preserve">), plus étendue que celle des sols de </w:t>
      </w:r>
      <w:proofErr w:type="spellStart"/>
      <w:r>
        <w:t>Mokabi</w:t>
      </w:r>
      <w:proofErr w:type="spellEnd"/>
      <w:r>
        <w:t xml:space="preserve"> (</w:t>
      </w:r>
      <w:proofErr w:type="spellStart"/>
      <w:r>
        <w:t>Acrisol</w:t>
      </w:r>
      <w:proofErr w:type="spellEnd"/>
      <w:r>
        <w:t>-</w:t>
      </w:r>
      <w:proofErr w:type="spellStart"/>
      <w:r>
        <w:t>Arenosol</w:t>
      </w:r>
      <w:proofErr w:type="spellEnd"/>
      <w:r>
        <w:t xml:space="preserve">), est à relier avec la présence de cours d’eau ou de bas-fonds proches du dispositif. </w:t>
      </w:r>
    </w:p>
    <w:p w:rsidR="00D26004" w:rsidRDefault="00D26004" w:rsidP="00D26004">
      <w:pPr>
        <w:jc w:val="both"/>
      </w:pPr>
      <w:r>
        <w:t xml:space="preserve">Les deux dispositifs sont très marqués par la présence de termitières épigées du genre </w:t>
      </w:r>
      <w:proofErr w:type="spellStart"/>
      <w:r>
        <w:t>Macrotermes</w:t>
      </w:r>
      <w:proofErr w:type="spellEnd"/>
      <w:r>
        <w:t xml:space="preserve"> (</w:t>
      </w:r>
      <w:r w:rsidR="006D3CA6">
        <w:fldChar w:fldCharType="begin"/>
      </w:r>
      <w:r>
        <w:instrText xml:space="preserve"> REF _Ref411518967 \h </w:instrText>
      </w:r>
      <w:r w:rsidR="006D3CA6">
        <w:fldChar w:fldCharType="separate"/>
      </w:r>
      <w:r>
        <w:t xml:space="preserve">Figure </w:t>
      </w:r>
      <w:r>
        <w:rPr>
          <w:noProof/>
        </w:rPr>
        <w:t>1</w:t>
      </w:r>
      <w:r w:rsidR="006D3CA6">
        <w:fldChar w:fldCharType="end"/>
      </w:r>
      <w:r>
        <w:t xml:space="preserve">). Même si ces termitières sont différentes par leur taille, espèce et activité, elles influencent localement les propriétés des sols et créent des micro-habitats qui pourraient occuper jusqu’à respectivement 15% et 8 % de la superficie de </w:t>
      </w:r>
      <w:proofErr w:type="spellStart"/>
      <w:r>
        <w:t>Loundoungou</w:t>
      </w:r>
      <w:proofErr w:type="spellEnd"/>
      <w:r>
        <w:t xml:space="preserve"> et de </w:t>
      </w:r>
      <w:proofErr w:type="spellStart"/>
      <w:r>
        <w:t>Mokabi</w:t>
      </w:r>
      <w:proofErr w:type="spellEnd"/>
      <w:r>
        <w:t>. Les deux dispositifs pourraient devenir des terrains d’étude privilégiés pour tester la théorie de la niche, une des théories qui est avancée pour expliquer la grande diversité floristique de la forêt tropicale humide.</w:t>
      </w:r>
    </w:p>
    <w:p w:rsidR="00D26004" w:rsidRPr="002D7407" w:rsidRDefault="00D26004" w:rsidP="00D26004">
      <w:pPr>
        <w:jc w:val="center"/>
        <w:rPr>
          <w:lang w:val="fr-BE" w:eastAsia="en-US"/>
        </w:rPr>
      </w:pPr>
      <w:r>
        <w:rPr>
          <w:noProof/>
        </w:rPr>
        <w:lastRenderedPageBreak/>
        <w:drawing>
          <wp:inline distT="0" distB="0" distL="0" distR="0">
            <wp:extent cx="2028825" cy="2705100"/>
            <wp:effectExtent l="0" t="0" r="9525" b="0"/>
            <wp:docPr id="15" name="Image 15" descr="http://www.dynaffor.org/var/dynaffor/storage/images/dynaffor/actualites/vers-une-meilleure-comprehension-des-relations-sols-vegetation/31213-2-fre-FR/vers-une-meilleure-comprehension-des-relations-sols-vege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ynaffor.org/var/dynaffor/storage/images/dynaffor/actualites/vers-une-meilleure-comprehension-des-relations-sols-vegetation/31213-2-fre-FR/vers-une-meilleure-comprehension-des-relations-sols-vegetatio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1072" cy="2708096"/>
                    </a:xfrm>
                    <a:prstGeom prst="rect">
                      <a:avLst/>
                    </a:prstGeom>
                    <a:noFill/>
                    <a:ln>
                      <a:noFill/>
                    </a:ln>
                  </pic:spPr>
                </pic:pic>
              </a:graphicData>
            </a:graphic>
          </wp:inline>
        </w:drawing>
      </w:r>
      <w:r w:rsidRPr="007F3EF2">
        <w:rPr>
          <w:sz w:val="16"/>
          <w:szCs w:val="16"/>
        </w:rPr>
        <w:t xml:space="preserve">© V. </w:t>
      </w:r>
      <w:proofErr w:type="spellStart"/>
      <w:r w:rsidRPr="007F3EF2">
        <w:rPr>
          <w:sz w:val="16"/>
          <w:szCs w:val="16"/>
        </w:rPr>
        <w:t>Freycon</w:t>
      </w:r>
      <w:proofErr w:type="spellEnd"/>
    </w:p>
    <w:p w:rsidR="00D26004" w:rsidRPr="005F728E" w:rsidRDefault="00D26004" w:rsidP="00D26004">
      <w:pPr>
        <w:pStyle w:val="Lgende"/>
        <w:rPr>
          <w:b w:val="0"/>
        </w:rPr>
      </w:pPr>
      <w:bookmarkStart w:id="10" w:name="_Ref411518967"/>
      <w:r>
        <w:t xml:space="preserve">Figure </w:t>
      </w:r>
      <w:r w:rsidR="006D3CA6">
        <w:fldChar w:fldCharType="begin"/>
      </w:r>
      <w:r>
        <w:instrText xml:space="preserve"> SEQ Figure \* ARABIC </w:instrText>
      </w:r>
      <w:r w:rsidR="006D3CA6">
        <w:fldChar w:fldCharType="separate"/>
      </w:r>
      <w:r>
        <w:rPr>
          <w:noProof/>
        </w:rPr>
        <w:t>1</w:t>
      </w:r>
      <w:r w:rsidR="006D3CA6">
        <w:rPr>
          <w:noProof/>
        </w:rPr>
        <w:fldChar w:fldCharType="end"/>
      </w:r>
      <w:bookmarkEnd w:id="10"/>
      <w:r>
        <w:t xml:space="preserve"> : </w:t>
      </w:r>
      <w:r>
        <w:rPr>
          <w:b w:val="0"/>
        </w:rPr>
        <w:t xml:space="preserve">Termitière géante  rencontrée sur le site de </w:t>
      </w:r>
      <w:proofErr w:type="spellStart"/>
      <w:r>
        <w:rPr>
          <w:b w:val="0"/>
        </w:rPr>
        <w:t>Loundoungou</w:t>
      </w:r>
      <w:proofErr w:type="spellEnd"/>
      <w:r>
        <w:rPr>
          <w:b w:val="0"/>
        </w:rPr>
        <w:t>.</w:t>
      </w:r>
    </w:p>
    <w:p w:rsidR="00D26004" w:rsidRDefault="00D26004" w:rsidP="00D26004">
      <w:pPr>
        <w:pStyle w:val="Titre2"/>
        <w:rPr>
          <w:rStyle w:val="lig1"/>
        </w:rPr>
      </w:pPr>
      <w:bookmarkStart w:id="11" w:name="_Toc411780308"/>
      <w:r>
        <w:rPr>
          <w:rStyle w:val="lig1"/>
        </w:rPr>
        <w:t>Avancement sur le dispositif de CIB-</w:t>
      </w:r>
      <w:proofErr w:type="spellStart"/>
      <w:r>
        <w:rPr>
          <w:rStyle w:val="lig1"/>
        </w:rPr>
        <w:t>Olam</w:t>
      </w:r>
      <w:bookmarkEnd w:id="11"/>
      <w:proofErr w:type="spellEnd"/>
    </w:p>
    <w:p w:rsidR="00D26004" w:rsidRDefault="00D26004" w:rsidP="00D26004">
      <w:pPr>
        <w:jc w:val="both"/>
        <w:rPr>
          <w:rStyle w:val="lig1"/>
        </w:rPr>
      </w:pPr>
    </w:p>
    <w:p w:rsidR="00D26004" w:rsidRDefault="00D26004" w:rsidP="00D26004">
      <w:pPr>
        <w:jc w:val="both"/>
        <w:rPr>
          <w:rFonts w:eastAsia="Times New Roman" w:cs="Times New Roman"/>
          <w:szCs w:val="24"/>
        </w:rPr>
      </w:pPr>
      <w:r w:rsidRPr="00FC0608">
        <w:rPr>
          <w:rFonts w:eastAsia="Times New Roman" w:cs="Times New Roman"/>
          <w:szCs w:val="24"/>
        </w:rPr>
        <w:t>Deux parcelles de 9 ha (</w:t>
      </w:r>
      <w:r w:rsidR="006D3CA6">
        <w:rPr>
          <w:rFonts w:eastAsia="Times New Roman" w:cs="Times New Roman"/>
          <w:szCs w:val="24"/>
        </w:rPr>
        <w:fldChar w:fldCharType="begin"/>
      </w:r>
      <w:r>
        <w:rPr>
          <w:rFonts w:eastAsia="Times New Roman" w:cs="Times New Roman"/>
          <w:szCs w:val="24"/>
        </w:rPr>
        <w:instrText xml:space="preserve"> REF _Ref411519081 \h </w:instrText>
      </w:r>
      <w:r w:rsidR="006D3CA6">
        <w:rPr>
          <w:rFonts w:eastAsia="Times New Roman" w:cs="Times New Roman"/>
          <w:szCs w:val="24"/>
        </w:rPr>
      </w:r>
      <w:r w:rsidR="006D3CA6">
        <w:rPr>
          <w:rFonts w:eastAsia="Times New Roman" w:cs="Times New Roman"/>
          <w:szCs w:val="24"/>
        </w:rPr>
        <w:fldChar w:fldCharType="separate"/>
      </w:r>
      <w:r>
        <w:t xml:space="preserve">Figure </w:t>
      </w:r>
      <w:r>
        <w:rPr>
          <w:noProof/>
        </w:rPr>
        <w:t>2</w:t>
      </w:r>
      <w:r w:rsidR="006D3CA6">
        <w:rPr>
          <w:rFonts w:eastAsia="Times New Roman" w:cs="Times New Roman"/>
          <w:szCs w:val="24"/>
        </w:rPr>
        <w:fldChar w:fldCharType="end"/>
      </w:r>
      <w:r w:rsidRPr="00FC0608">
        <w:rPr>
          <w:rFonts w:eastAsia="Times New Roman" w:cs="Times New Roman"/>
          <w:szCs w:val="24"/>
        </w:rPr>
        <w:t xml:space="preserve">) floristiquement comparables </w:t>
      </w:r>
      <w:r>
        <w:rPr>
          <w:rFonts w:eastAsia="Times New Roman" w:cs="Times New Roman"/>
          <w:szCs w:val="24"/>
        </w:rPr>
        <w:t>avaient été</w:t>
      </w:r>
      <w:r w:rsidRPr="00FC0608">
        <w:rPr>
          <w:rFonts w:eastAsia="Times New Roman" w:cs="Times New Roman"/>
          <w:szCs w:val="24"/>
        </w:rPr>
        <w:t xml:space="preserve"> identifiées par l’équipe du C</w:t>
      </w:r>
      <w:r>
        <w:rPr>
          <w:rFonts w:eastAsia="Times New Roman" w:cs="Times New Roman"/>
          <w:szCs w:val="24"/>
        </w:rPr>
        <w:t>IRAD</w:t>
      </w:r>
      <w:r w:rsidRPr="00FC0608">
        <w:rPr>
          <w:rFonts w:eastAsia="Times New Roman" w:cs="Times New Roman"/>
          <w:szCs w:val="24"/>
        </w:rPr>
        <w:t xml:space="preserve"> en novembre 2013 après analyse des données du pré-inventaire du bloc</w:t>
      </w:r>
      <w:r>
        <w:rPr>
          <w:rFonts w:eastAsia="Times New Roman" w:cs="Times New Roman"/>
          <w:szCs w:val="24"/>
        </w:rPr>
        <w:t xml:space="preserve"> Ouest, ainsi qu’</w:t>
      </w:r>
      <w:r w:rsidRPr="00FC0608">
        <w:rPr>
          <w:rFonts w:eastAsia="Times New Roman" w:cs="Times New Roman"/>
          <w:szCs w:val="24"/>
        </w:rPr>
        <w:t>un sentier reliant plus de 2600 arbres appartenant à 22 espèces prioritair</w:t>
      </w:r>
      <w:r>
        <w:rPr>
          <w:rFonts w:eastAsia="Times New Roman" w:cs="Times New Roman"/>
          <w:szCs w:val="24"/>
        </w:rPr>
        <w:t>es pour la compagnie forestière.</w:t>
      </w:r>
    </w:p>
    <w:p w:rsidR="00D26004" w:rsidRPr="00FC0608" w:rsidRDefault="00D26004" w:rsidP="00D26004">
      <w:pPr>
        <w:jc w:val="both"/>
        <w:rPr>
          <w:rFonts w:eastAsia="Times New Roman" w:cs="Times New Roman"/>
          <w:szCs w:val="24"/>
        </w:rPr>
      </w:pPr>
      <w:r w:rsidRPr="00C601E9">
        <w:rPr>
          <w:rFonts w:eastAsia="Times New Roman" w:cs="Times New Roman"/>
          <w:noProof/>
          <w:szCs w:val="24"/>
        </w:rPr>
        <w:drawing>
          <wp:inline distT="0" distB="0" distL="0" distR="0">
            <wp:extent cx="3619500" cy="4007906"/>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4007906"/>
                    </a:xfrm>
                    <a:prstGeom prst="rect">
                      <a:avLst/>
                    </a:prstGeom>
                    <a:noFill/>
                    <a:ln>
                      <a:noFill/>
                    </a:ln>
                    <a:effectLst/>
                    <a:extLst/>
                  </pic:spPr>
                </pic:pic>
              </a:graphicData>
            </a:graphic>
          </wp:inline>
        </w:drawing>
      </w:r>
    </w:p>
    <w:p w:rsidR="00D26004" w:rsidRPr="002C0EA4" w:rsidRDefault="00D26004" w:rsidP="00D26004">
      <w:pPr>
        <w:pStyle w:val="Lgende"/>
        <w:rPr>
          <w:rFonts w:eastAsia="Times New Roman"/>
          <w:b w:val="0"/>
          <w:szCs w:val="24"/>
        </w:rPr>
      </w:pPr>
      <w:bookmarkStart w:id="12" w:name="_Ref411519081"/>
      <w:r>
        <w:lastRenderedPageBreak/>
        <w:t xml:space="preserve">Figure </w:t>
      </w:r>
      <w:r w:rsidR="006D3CA6">
        <w:fldChar w:fldCharType="begin"/>
      </w:r>
      <w:r>
        <w:instrText xml:space="preserve"> SEQ Figure \* ARABIC </w:instrText>
      </w:r>
      <w:r w:rsidR="006D3CA6">
        <w:fldChar w:fldCharType="separate"/>
      </w:r>
      <w:r>
        <w:rPr>
          <w:noProof/>
        </w:rPr>
        <w:t>2</w:t>
      </w:r>
      <w:r w:rsidR="006D3CA6">
        <w:rPr>
          <w:noProof/>
        </w:rPr>
        <w:fldChar w:fldCharType="end"/>
      </w:r>
      <w:bookmarkEnd w:id="12"/>
      <w:r>
        <w:t xml:space="preserve"> : </w:t>
      </w:r>
      <w:r>
        <w:rPr>
          <w:b w:val="0"/>
        </w:rPr>
        <w:t>Situation des deux parcelles de 9 ha dans le bloc Ouest du dispositif CIB-</w:t>
      </w:r>
      <w:proofErr w:type="spellStart"/>
      <w:r>
        <w:rPr>
          <w:b w:val="0"/>
        </w:rPr>
        <w:t>Olam</w:t>
      </w:r>
      <w:proofErr w:type="spellEnd"/>
    </w:p>
    <w:p w:rsidR="00D26004" w:rsidRDefault="00D26004" w:rsidP="00D26004">
      <w:pPr>
        <w:jc w:val="both"/>
        <w:rPr>
          <w:rFonts w:eastAsia="Times New Roman" w:cs="Times New Roman"/>
          <w:szCs w:val="24"/>
        </w:rPr>
      </w:pPr>
    </w:p>
    <w:p w:rsidR="00D26004" w:rsidRPr="00FC0608" w:rsidRDefault="00D26004" w:rsidP="00D26004">
      <w:pPr>
        <w:jc w:val="both"/>
        <w:rPr>
          <w:rFonts w:eastAsia="Times New Roman" w:cs="Times New Roman"/>
          <w:szCs w:val="24"/>
        </w:rPr>
      </w:pPr>
      <w:r w:rsidRPr="00FC0608">
        <w:rPr>
          <w:rFonts w:eastAsia="Times New Roman" w:cs="Times New Roman"/>
          <w:szCs w:val="24"/>
        </w:rPr>
        <w:t xml:space="preserve">L’ensemble </w:t>
      </w:r>
      <w:r>
        <w:rPr>
          <w:rFonts w:eastAsia="Times New Roman" w:cs="Times New Roman"/>
          <w:szCs w:val="24"/>
        </w:rPr>
        <w:t xml:space="preserve">des deux parcelles </w:t>
      </w:r>
      <w:r w:rsidRPr="00FC0608">
        <w:rPr>
          <w:rFonts w:eastAsia="Times New Roman" w:cs="Times New Roman"/>
          <w:szCs w:val="24"/>
        </w:rPr>
        <w:t>a été installé par l’équipe de CIB-</w:t>
      </w:r>
      <w:proofErr w:type="spellStart"/>
      <w:r w:rsidRPr="00FC0608">
        <w:rPr>
          <w:rFonts w:eastAsia="Times New Roman" w:cs="Times New Roman"/>
          <w:szCs w:val="24"/>
        </w:rPr>
        <w:t>Olam</w:t>
      </w:r>
      <w:proofErr w:type="spellEnd"/>
      <w:r>
        <w:rPr>
          <w:rFonts w:eastAsia="Times New Roman" w:cs="Times New Roman"/>
          <w:szCs w:val="24"/>
        </w:rPr>
        <w:t xml:space="preserve"> au courant du premier trimestre 2014</w:t>
      </w:r>
      <w:r w:rsidRPr="00FC0608">
        <w:rPr>
          <w:rFonts w:eastAsia="Times New Roman" w:cs="Times New Roman"/>
          <w:szCs w:val="24"/>
        </w:rPr>
        <w:t> : les arbres ont été positionnés, identifiés, et équipés d’un anneau de peinture. Les opérations ont pris davantage de temps que prévu car les arbres du site présentent de nombreux problèmes de conformation et il a fallu souvent rehausser les niveaux de mesure (</w:t>
      </w:r>
      <w:r w:rsidR="006D3CA6">
        <w:rPr>
          <w:rFonts w:eastAsia="Times New Roman" w:cs="Times New Roman"/>
          <w:szCs w:val="24"/>
        </w:rPr>
        <w:fldChar w:fldCharType="begin"/>
      </w:r>
      <w:r>
        <w:rPr>
          <w:rFonts w:eastAsia="Times New Roman" w:cs="Times New Roman"/>
          <w:szCs w:val="24"/>
        </w:rPr>
        <w:instrText xml:space="preserve"> REF _Ref411519270 \h </w:instrText>
      </w:r>
      <w:r w:rsidR="006D3CA6">
        <w:rPr>
          <w:rFonts w:eastAsia="Times New Roman" w:cs="Times New Roman"/>
          <w:szCs w:val="24"/>
        </w:rPr>
      </w:r>
      <w:r w:rsidR="006D3CA6">
        <w:rPr>
          <w:rFonts w:eastAsia="Times New Roman" w:cs="Times New Roman"/>
          <w:szCs w:val="24"/>
        </w:rPr>
        <w:fldChar w:fldCharType="separate"/>
      </w:r>
      <w:r>
        <w:t xml:space="preserve">Figure </w:t>
      </w:r>
      <w:r>
        <w:rPr>
          <w:noProof/>
        </w:rPr>
        <w:t>3</w:t>
      </w:r>
      <w:r w:rsidR="006D3CA6">
        <w:rPr>
          <w:rFonts w:eastAsia="Times New Roman" w:cs="Times New Roman"/>
          <w:szCs w:val="24"/>
        </w:rPr>
        <w:fldChar w:fldCharType="end"/>
      </w:r>
      <w:r w:rsidRPr="00FC0608">
        <w:rPr>
          <w:rFonts w:eastAsia="Times New Roman" w:cs="Times New Roman"/>
          <w:szCs w:val="24"/>
        </w:rPr>
        <w:t xml:space="preserve">). </w:t>
      </w:r>
      <w:r>
        <w:rPr>
          <w:rFonts w:eastAsia="Times New Roman" w:cs="Times New Roman"/>
          <w:szCs w:val="24"/>
        </w:rPr>
        <w:t>Par ailleurs, suite à une mission effectuée en avril 2014 (</w:t>
      </w:r>
      <w:proofErr w:type="spellStart"/>
      <w:r>
        <w:rPr>
          <w:rFonts w:eastAsia="Times New Roman" w:cs="Times New Roman"/>
          <w:szCs w:val="24"/>
        </w:rPr>
        <w:t>Gourlet</w:t>
      </w:r>
      <w:proofErr w:type="spellEnd"/>
      <w:r>
        <w:rPr>
          <w:rFonts w:eastAsia="Times New Roman" w:cs="Times New Roman"/>
          <w:szCs w:val="24"/>
        </w:rPr>
        <w:t>-Fleury et Forni, 2014a) il est apparu nécessaire de repasser sur l’ensemble des arbres identifiés dans les deux parcelles pour vérifier le bon positionnement de l’anneau de peinture et le corriger si nécessaire. Ce travail a été effectué au cours du second trimestre 2014.</w:t>
      </w:r>
    </w:p>
    <w:p w:rsidR="00D26004" w:rsidRPr="00507FB6" w:rsidRDefault="00D26004" w:rsidP="00D26004">
      <w:pPr>
        <w:pStyle w:val="Lgende"/>
        <w:rPr>
          <w:lang w:val="fr-FR"/>
        </w:rPr>
      </w:pPr>
      <w:r>
        <w:rPr>
          <w:noProof/>
          <w:lang w:val="fr-FR" w:eastAsia="fr-FR"/>
        </w:rPr>
        <w:drawing>
          <wp:inline distT="0" distB="0" distL="0" distR="0">
            <wp:extent cx="2266140" cy="3017448"/>
            <wp:effectExtent l="0" t="0" r="1270" b="0"/>
            <wp:docPr id="27" name="Image 27" descr="http://www.dynaffor.org/var/dynaffor/storage/images/dynaffor/actualites/parcelles-permanentes-cib-olam/31195-1-fre-FR/parcelles-permanentes-cib-o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ynaffor.org/var/dynaffor/storage/images/dynaffor/actualites/parcelles-permanentes-cib-olam/31195-1-fre-FR/parcelles-permanentes-cib-olam.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7314" cy="3019011"/>
                    </a:xfrm>
                    <a:prstGeom prst="rect">
                      <a:avLst/>
                    </a:prstGeom>
                    <a:noFill/>
                    <a:ln>
                      <a:noFill/>
                    </a:ln>
                  </pic:spPr>
                </pic:pic>
              </a:graphicData>
            </a:graphic>
          </wp:inline>
        </w:drawing>
      </w:r>
      <w:r w:rsidRPr="002A2A2D">
        <w:rPr>
          <w:b w:val="0"/>
        </w:rPr>
        <w:t xml:space="preserve">© S. </w:t>
      </w:r>
      <w:proofErr w:type="spellStart"/>
      <w:r w:rsidRPr="002A2A2D">
        <w:rPr>
          <w:b w:val="0"/>
        </w:rPr>
        <w:t>Gourlet</w:t>
      </w:r>
      <w:proofErr w:type="spellEnd"/>
      <w:r w:rsidRPr="002A2A2D">
        <w:rPr>
          <w:b w:val="0"/>
        </w:rPr>
        <w:t>-Fleury</w:t>
      </w:r>
    </w:p>
    <w:p w:rsidR="00D26004" w:rsidRDefault="00D26004" w:rsidP="00D26004">
      <w:pPr>
        <w:pStyle w:val="Lgende"/>
        <w:rPr>
          <w:b w:val="0"/>
        </w:rPr>
      </w:pPr>
      <w:bookmarkStart w:id="13" w:name="_Ref411519270"/>
      <w:r>
        <w:t xml:space="preserve">Figure </w:t>
      </w:r>
      <w:r w:rsidR="006D3CA6">
        <w:fldChar w:fldCharType="begin"/>
      </w:r>
      <w:r>
        <w:instrText xml:space="preserve"> SEQ Figure \* ARABIC </w:instrText>
      </w:r>
      <w:r w:rsidR="006D3CA6">
        <w:fldChar w:fldCharType="separate"/>
      </w:r>
      <w:r>
        <w:rPr>
          <w:noProof/>
        </w:rPr>
        <w:t>3</w:t>
      </w:r>
      <w:r w:rsidR="006D3CA6">
        <w:rPr>
          <w:noProof/>
        </w:rPr>
        <w:fldChar w:fldCharType="end"/>
      </w:r>
      <w:bookmarkEnd w:id="13"/>
      <w:r>
        <w:t xml:space="preserve"> : </w:t>
      </w:r>
      <w:r w:rsidRPr="002A2A2D">
        <w:rPr>
          <w:b w:val="0"/>
        </w:rPr>
        <w:t xml:space="preserve">Pose d’un anneau de peinture à 4m50 sur un </w:t>
      </w:r>
      <w:proofErr w:type="spellStart"/>
      <w:r w:rsidRPr="002A2A2D">
        <w:rPr>
          <w:b w:val="0"/>
        </w:rPr>
        <w:t>Tali</w:t>
      </w:r>
      <w:proofErr w:type="spellEnd"/>
      <w:r w:rsidRPr="002A2A2D">
        <w:rPr>
          <w:b w:val="0"/>
        </w:rPr>
        <w:t xml:space="preserve"> (parcelle 1, carré 1 du bloc ouest).</w:t>
      </w:r>
    </w:p>
    <w:p w:rsidR="00D26004" w:rsidRDefault="00D26004" w:rsidP="00D26004">
      <w:pPr>
        <w:jc w:val="both"/>
        <w:rPr>
          <w:rFonts w:eastAsia="Times New Roman" w:cs="Times New Roman"/>
          <w:szCs w:val="24"/>
        </w:rPr>
      </w:pPr>
    </w:p>
    <w:p w:rsidR="00D26004" w:rsidRDefault="00D26004" w:rsidP="00D26004">
      <w:pPr>
        <w:jc w:val="both"/>
        <w:rPr>
          <w:rFonts w:eastAsia="Times New Roman" w:cs="Times New Roman"/>
          <w:szCs w:val="24"/>
        </w:rPr>
      </w:pPr>
      <w:r>
        <w:rPr>
          <w:rFonts w:eastAsia="Times New Roman" w:cs="Times New Roman"/>
          <w:szCs w:val="24"/>
        </w:rPr>
        <w:t>L’</w:t>
      </w:r>
      <w:r w:rsidRPr="00FC0608">
        <w:rPr>
          <w:rFonts w:eastAsia="Times New Roman" w:cs="Times New Roman"/>
          <w:szCs w:val="24"/>
        </w:rPr>
        <w:t xml:space="preserve">équipe a </w:t>
      </w:r>
      <w:r>
        <w:rPr>
          <w:rFonts w:eastAsia="Times New Roman" w:cs="Times New Roman"/>
          <w:szCs w:val="24"/>
        </w:rPr>
        <w:t xml:space="preserve">ensuite </w:t>
      </w:r>
      <w:r w:rsidRPr="00FC0608">
        <w:rPr>
          <w:rFonts w:eastAsia="Times New Roman" w:cs="Times New Roman"/>
          <w:szCs w:val="24"/>
        </w:rPr>
        <w:t>dém</w:t>
      </w:r>
      <w:r>
        <w:rPr>
          <w:rFonts w:eastAsia="Times New Roman" w:cs="Times New Roman"/>
          <w:szCs w:val="24"/>
        </w:rPr>
        <w:t>arré le pré-inventaire du bloc Est. Ce travail a occupé l’équipe pendant le second semestre 2014 et devrait s’achever au début de l’année 2015. Pour ce faire, le campement a été déplacé au bord de la rivière longeant le côté Est du bloc afin de minimiser le temps d’accès au lieu de travail.</w:t>
      </w:r>
    </w:p>
    <w:p w:rsidR="00D26004" w:rsidRPr="00FC0608" w:rsidRDefault="00D26004" w:rsidP="00D26004">
      <w:pPr>
        <w:jc w:val="both"/>
        <w:rPr>
          <w:rFonts w:eastAsia="Times New Roman" w:cs="Times New Roman"/>
          <w:szCs w:val="24"/>
        </w:rPr>
      </w:pPr>
    </w:p>
    <w:p w:rsidR="00D26004" w:rsidRDefault="00D26004" w:rsidP="00D26004">
      <w:pPr>
        <w:pStyle w:val="Titre2"/>
      </w:pPr>
      <w:bookmarkStart w:id="14" w:name="_Toc411780309"/>
      <w:r>
        <w:t xml:space="preserve">Avancement sur le dispositif de </w:t>
      </w:r>
      <w:proofErr w:type="spellStart"/>
      <w:r>
        <w:t>Mokabi</w:t>
      </w:r>
      <w:proofErr w:type="spellEnd"/>
      <w:r>
        <w:t xml:space="preserve"> SA</w:t>
      </w:r>
      <w:bookmarkEnd w:id="14"/>
    </w:p>
    <w:p w:rsidR="00D26004" w:rsidRDefault="00D26004" w:rsidP="00D26004"/>
    <w:p w:rsidR="00D26004" w:rsidRPr="00FC0608" w:rsidRDefault="00D26004" w:rsidP="00D26004">
      <w:pPr>
        <w:jc w:val="both"/>
        <w:rPr>
          <w:rFonts w:eastAsia="Times New Roman"/>
        </w:rPr>
      </w:pPr>
      <w:r w:rsidRPr="00FC0608">
        <w:rPr>
          <w:rFonts w:eastAsia="Times New Roman"/>
        </w:rPr>
        <w:t>Le pré-inventaire d</w:t>
      </w:r>
      <w:r>
        <w:rPr>
          <w:rFonts w:eastAsia="Times New Roman"/>
        </w:rPr>
        <w:t>u</w:t>
      </w:r>
      <w:r w:rsidRPr="00FC0608">
        <w:rPr>
          <w:rFonts w:eastAsia="Times New Roman"/>
        </w:rPr>
        <w:t xml:space="preserve"> </w:t>
      </w:r>
      <w:r>
        <w:rPr>
          <w:rFonts w:eastAsia="Times New Roman"/>
        </w:rPr>
        <w:t xml:space="preserve">bloc Nord entamé en 2013 s’est achevé en février 2014. L’équipe </w:t>
      </w:r>
      <w:r w:rsidRPr="00FC0608">
        <w:rPr>
          <w:rFonts w:eastAsia="Times New Roman"/>
        </w:rPr>
        <w:t xml:space="preserve">de </w:t>
      </w:r>
      <w:proofErr w:type="spellStart"/>
      <w:r w:rsidRPr="00FC0608">
        <w:rPr>
          <w:rFonts w:eastAsia="Times New Roman"/>
        </w:rPr>
        <w:t>Mokabi</w:t>
      </w:r>
      <w:proofErr w:type="spellEnd"/>
      <w:r w:rsidRPr="00FC0608">
        <w:rPr>
          <w:rFonts w:eastAsia="Times New Roman"/>
        </w:rPr>
        <w:t xml:space="preserve"> SA</w:t>
      </w:r>
      <w:r>
        <w:rPr>
          <w:rFonts w:eastAsia="Times New Roman"/>
        </w:rPr>
        <w:t xml:space="preserve"> a immédiatement enchaîné par la réalisation du pré-inventaire du bloc Sud</w:t>
      </w:r>
      <w:r w:rsidRPr="00FC0608">
        <w:rPr>
          <w:rFonts w:eastAsia="Times New Roman"/>
        </w:rPr>
        <w:t xml:space="preserve"> </w:t>
      </w:r>
      <w:r>
        <w:rPr>
          <w:rFonts w:eastAsia="Times New Roman"/>
        </w:rPr>
        <w:t xml:space="preserve">qui </w:t>
      </w:r>
      <w:r w:rsidRPr="00FC0608">
        <w:rPr>
          <w:rFonts w:eastAsia="Times New Roman"/>
        </w:rPr>
        <w:t>a été terminé fin août 2014</w:t>
      </w:r>
      <w:r>
        <w:rPr>
          <w:rFonts w:eastAsia="Times New Roman"/>
        </w:rPr>
        <w:t>.</w:t>
      </w:r>
    </w:p>
    <w:p w:rsidR="00D26004" w:rsidRPr="00FC0608" w:rsidRDefault="00D26004" w:rsidP="00D26004">
      <w:pPr>
        <w:jc w:val="both"/>
        <w:rPr>
          <w:rFonts w:eastAsia="Times New Roman"/>
        </w:rPr>
      </w:pPr>
      <w:r w:rsidRPr="00FC0608">
        <w:rPr>
          <w:rFonts w:eastAsia="Times New Roman"/>
        </w:rPr>
        <w:lastRenderedPageBreak/>
        <w:t>Plus de 49 000 arbres appartenant à 36 espèces ont été repérés dans les 800 sous-parcelles de 1 ha constituant les</w:t>
      </w:r>
      <w:r>
        <w:rPr>
          <w:rFonts w:eastAsia="Times New Roman"/>
        </w:rPr>
        <w:t xml:space="preserve"> deux</w:t>
      </w:r>
      <w:r w:rsidRPr="00FC0608">
        <w:rPr>
          <w:rFonts w:eastAsia="Times New Roman"/>
        </w:rPr>
        <w:t xml:space="preserve"> blocs. L’équipe du C</w:t>
      </w:r>
      <w:r>
        <w:rPr>
          <w:rFonts w:eastAsia="Times New Roman"/>
        </w:rPr>
        <w:t>IRAD</w:t>
      </w:r>
      <w:r w:rsidRPr="00FC0608">
        <w:rPr>
          <w:rFonts w:eastAsia="Times New Roman"/>
        </w:rPr>
        <w:t xml:space="preserve"> a analysé ces données pour identifier quatre parcelles de 9 ha chacune, à raison de deux parcelles dans chaque bloc, qui soient les plus semblables</w:t>
      </w:r>
      <w:r>
        <w:rPr>
          <w:rFonts w:eastAsia="Times New Roman"/>
        </w:rPr>
        <w:t xml:space="preserve"> possible</w:t>
      </w:r>
      <w:r w:rsidRPr="00FC0608">
        <w:rPr>
          <w:rFonts w:eastAsia="Times New Roman"/>
        </w:rPr>
        <w:t xml:space="preserve"> les unes des autres du point de vue de leur composition floristique (</w:t>
      </w:r>
      <w:r w:rsidR="006D3CA6">
        <w:rPr>
          <w:rFonts w:eastAsia="Times New Roman"/>
        </w:rPr>
        <w:fldChar w:fldCharType="begin"/>
      </w:r>
      <w:r>
        <w:rPr>
          <w:rFonts w:eastAsia="Times New Roman"/>
        </w:rPr>
        <w:instrText xml:space="preserve"> REF _Ref411519385 \h </w:instrText>
      </w:r>
      <w:r w:rsidR="006D3CA6">
        <w:rPr>
          <w:rFonts w:eastAsia="Times New Roman"/>
        </w:rPr>
      </w:r>
      <w:r w:rsidR="006D3CA6">
        <w:rPr>
          <w:rFonts w:eastAsia="Times New Roman"/>
        </w:rPr>
        <w:fldChar w:fldCharType="separate"/>
      </w:r>
      <w:r>
        <w:t xml:space="preserve">Figure </w:t>
      </w:r>
      <w:r>
        <w:rPr>
          <w:noProof/>
        </w:rPr>
        <w:t>4</w:t>
      </w:r>
      <w:r w:rsidR="006D3CA6">
        <w:rPr>
          <w:rFonts w:eastAsia="Times New Roman"/>
        </w:rPr>
        <w:fldChar w:fldCharType="end"/>
      </w:r>
      <w:r w:rsidRPr="00FC0608">
        <w:rPr>
          <w:rFonts w:eastAsia="Times New Roman"/>
        </w:rPr>
        <w:t xml:space="preserve">). </w:t>
      </w:r>
    </w:p>
    <w:p w:rsidR="00D26004" w:rsidRPr="00FC0608" w:rsidRDefault="00D26004" w:rsidP="00D26004">
      <w:pPr>
        <w:rPr>
          <w:rFonts w:eastAsia="Times New Roman"/>
        </w:rPr>
      </w:pPr>
      <w:r w:rsidRPr="0000003B">
        <w:rPr>
          <w:rFonts w:eastAsia="Times New Roman"/>
          <w:noProof/>
        </w:rPr>
        <w:drawing>
          <wp:inline distT="0" distB="0" distL="0" distR="0">
            <wp:extent cx="2828925" cy="2948564"/>
            <wp:effectExtent l="0" t="0" r="0" b="444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7573" cy="2947155"/>
                    </a:xfrm>
                    <a:prstGeom prst="rect">
                      <a:avLst/>
                    </a:prstGeom>
                    <a:noFill/>
                    <a:ln>
                      <a:noFill/>
                    </a:ln>
                    <a:effectLst/>
                    <a:extLst/>
                  </pic:spPr>
                </pic:pic>
              </a:graphicData>
            </a:graphic>
          </wp:inline>
        </w:drawing>
      </w:r>
      <w:r w:rsidRPr="00B404A6">
        <w:rPr>
          <w:noProof/>
        </w:rPr>
        <w:t xml:space="preserve"> </w:t>
      </w:r>
      <w:r w:rsidRPr="00B404A6">
        <w:rPr>
          <w:rFonts w:eastAsia="Times New Roman"/>
          <w:noProof/>
        </w:rPr>
        <w:drawing>
          <wp:inline distT="0" distB="0" distL="0" distR="0">
            <wp:extent cx="2761072" cy="2943078"/>
            <wp:effectExtent l="0" t="0" r="127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1072" cy="2943078"/>
                    </a:xfrm>
                    <a:prstGeom prst="rect">
                      <a:avLst/>
                    </a:prstGeom>
                    <a:noFill/>
                    <a:ln>
                      <a:noFill/>
                    </a:ln>
                    <a:effectLst/>
                    <a:extLst/>
                  </pic:spPr>
                </pic:pic>
              </a:graphicData>
            </a:graphic>
          </wp:inline>
        </w:drawing>
      </w:r>
    </w:p>
    <w:p w:rsidR="00D26004" w:rsidRDefault="00D26004" w:rsidP="00D26004">
      <w:pPr>
        <w:pStyle w:val="Lgende"/>
        <w:rPr>
          <w:rFonts w:eastAsia="Times New Roman"/>
        </w:rPr>
      </w:pPr>
      <w:bookmarkStart w:id="15" w:name="_Ref411519385"/>
      <w:r>
        <w:t xml:space="preserve">Figure </w:t>
      </w:r>
      <w:r w:rsidR="006D3CA6">
        <w:fldChar w:fldCharType="begin"/>
      </w:r>
      <w:r>
        <w:instrText xml:space="preserve"> SEQ Figure \* ARABIC </w:instrText>
      </w:r>
      <w:r w:rsidR="006D3CA6">
        <w:fldChar w:fldCharType="separate"/>
      </w:r>
      <w:r>
        <w:rPr>
          <w:noProof/>
        </w:rPr>
        <w:t>4</w:t>
      </w:r>
      <w:r w:rsidR="006D3CA6">
        <w:rPr>
          <w:noProof/>
        </w:rPr>
        <w:fldChar w:fldCharType="end"/>
      </w:r>
      <w:bookmarkEnd w:id="15"/>
      <w:r>
        <w:rPr>
          <w:rFonts w:eastAsia="Times New Roman"/>
        </w:rPr>
        <w:t xml:space="preserve"> : </w:t>
      </w:r>
      <w:r>
        <w:rPr>
          <w:rFonts w:eastAsia="Times New Roman"/>
          <w:b w:val="0"/>
        </w:rPr>
        <w:t>Situation</w:t>
      </w:r>
      <w:r w:rsidRPr="00183BC8">
        <w:rPr>
          <w:rFonts w:eastAsia="Times New Roman"/>
          <w:b w:val="0"/>
        </w:rPr>
        <w:t xml:space="preserve"> des parcelles dans les blocs Nord et Sud du dispositif de </w:t>
      </w:r>
      <w:proofErr w:type="spellStart"/>
      <w:r w:rsidRPr="00183BC8">
        <w:rPr>
          <w:rFonts w:eastAsia="Times New Roman"/>
          <w:b w:val="0"/>
        </w:rPr>
        <w:t>Mokabi</w:t>
      </w:r>
      <w:proofErr w:type="spellEnd"/>
      <w:r w:rsidRPr="00183BC8">
        <w:rPr>
          <w:rFonts w:eastAsia="Times New Roman"/>
          <w:b w:val="0"/>
        </w:rPr>
        <w:t xml:space="preserve"> SA</w:t>
      </w:r>
    </w:p>
    <w:p w:rsidR="00D26004" w:rsidRDefault="00D26004" w:rsidP="00D26004">
      <w:pPr>
        <w:jc w:val="both"/>
        <w:rPr>
          <w:rFonts w:eastAsia="Times New Roman"/>
        </w:rPr>
      </w:pPr>
    </w:p>
    <w:p w:rsidR="00D26004" w:rsidRDefault="00D26004" w:rsidP="00D26004">
      <w:pPr>
        <w:jc w:val="both"/>
        <w:rPr>
          <w:rFonts w:eastAsia="Times New Roman"/>
        </w:rPr>
      </w:pPr>
      <w:r w:rsidRPr="00FC0608">
        <w:rPr>
          <w:rFonts w:eastAsia="Times New Roman"/>
        </w:rPr>
        <w:t>Une mission de formation effectuée par des chercheurs du C</w:t>
      </w:r>
      <w:r>
        <w:rPr>
          <w:rFonts w:eastAsia="Times New Roman"/>
        </w:rPr>
        <w:t>IRAD</w:t>
      </w:r>
      <w:r w:rsidRPr="00FC0608">
        <w:rPr>
          <w:rFonts w:eastAsia="Times New Roman"/>
        </w:rPr>
        <w:t xml:space="preserve"> </w:t>
      </w:r>
      <w:r>
        <w:rPr>
          <w:rFonts w:eastAsia="Times New Roman"/>
        </w:rPr>
        <w:t>(</w:t>
      </w:r>
      <w:proofErr w:type="spellStart"/>
      <w:r>
        <w:rPr>
          <w:rFonts w:eastAsia="Times New Roman"/>
        </w:rPr>
        <w:t>Gourlet</w:t>
      </w:r>
      <w:proofErr w:type="spellEnd"/>
      <w:r>
        <w:rPr>
          <w:rFonts w:eastAsia="Times New Roman"/>
        </w:rPr>
        <w:t xml:space="preserve">-Fleury et Forni, 2014b) </w:t>
      </w:r>
      <w:r w:rsidRPr="00FC0608">
        <w:rPr>
          <w:rFonts w:eastAsia="Times New Roman"/>
        </w:rPr>
        <w:t xml:space="preserve">a eu lieu en juillet 2014 </w:t>
      </w:r>
      <w:r>
        <w:rPr>
          <w:rFonts w:eastAsia="Times New Roman"/>
        </w:rPr>
        <w:t xml:space="preserve">afin d’initier l’équipe de </w:t>
      </w:r>
      <w:proofErr w:type="spellStart"/>
      <w:r>
        <w:rPr>
          <w:rFonts w:eastAsia="Times New Roman"/>
        </w:rPr>
        <w:t>Mokabi</w:t>
      </w:r>
      <w:proofErr w:type="spellEnd"/>
      <w:r>
        <w:rPr>
          <w:rFonts w:eastAsia="Times New Roman"/>
        </w:rPr>
        <w:t xml:space="preserve"> S.A. au protocole d’installation des parcelles (délimitation des parcelles, positionnement, mesure et identification de </w:t>
      </w:r>
      <w:r w:rsidRPr="00FC0608">
        <w:rPr>
          <w:rFonts w:eastAsia="Times New Roman"/>
        </w:rPr>
        <w:t>tous les arbres de plus de 10 cm de diamètre à hauteur de poitrine présents sur ces parcelles</w:t>
      </w:r>
      <w:r>
        <w:rPr>
          <w:rFonts w:eastAsia="Times New Roman"/>
        </w:rPr>
        <w:t>)</w:t>
      </w:r>
      <w:r w:rsidRPr="00FC0608">
        <w:rPr>
          <w:rFonts w:eastAsia="Times New Roman"/>
        </w:rPr>
        <w:t xml:space="preserve">. </w:t>
      </w:r>
      <w:r>
        <w:rPr>
          <w:rFonts w:eastAsia="Times New Roman"/>
        </w:rPr>
        <w:t>On trouvera le protocole d’installation en annexe 1 et la fiche de comptage utilisée en annexe 2.</w:t>
      </w:r>
    </w:p>
    <w:p w:rsidR="00D26004" w:rsidRPr="00FC0608" w:rsidRDefault="00D26004" w:rsidP="00D26004">
      <w:pPr>
        <w:jc w:val="both"/>
        <w:rPr>
          <w:rFonts w:eastAsia="Times New Roman"/>
        </w:rPr>
      </w:pPr>
      <w:r>
        <w:rPr>
          <w:rFonts w:eastAsia="Times New Roman"/>
        </w:rPr>
        <w:t>L</w:t>
      </w:r>
      <w:r w:rsidRPr="00FC0608">
        <w:rPr>
          <w:rFonts w:eastAsia="Times New Roman"/>
        </w:rPr>
        <w:t xml:space="preserve">’équipe </w:t>
      </w:r>
      <w:r>
        <w:rPr>
          <w:rFonts w:eastAsia="Times New Roman"/>
        </w:rPr>
        <w:t xml:space="preserve">de </w:t>
      </w:r>
      <w:proofErr w:type="spellStart"/>
      <w:r>
        <w:rPr>
          <w:rFonts w:eastAsia="Times New Roman"/>
        </w:rPr>
        <w:t>Mokabi</w:t>
      </w:r>
      <w:proofErr w:type="spellEnd"/>
      <w:r>
        <w:rPr>
          <w:rFonts w:eastAsia="Times New Roman"/>
        </w:rPr>
        <w:t xml:space="preserve"> SA a démarré</w:t>
      </w:r>
      <w:r w:rsidRPr="00FC0608">
        <w:rPr>
          <w:rFonts w:eastAsia="Times New Roman"/>
        </w:rPr>
        <w:t xml:space="preserve"> l’insta</w:t>
      </w:r>
      <w:r>
        <w:rPr>
          <w:rFonts w:eastAsia="Times New Roman"/>
        </w:rPr>
        <w:t>llation de la première parcelle du bloc Sud en septembre 2014 (</w:t>
      </w:r>
      <w:r w:rsidR="006D3CA6">
        <w:rPr>
          <w:rFonts w:eastAsia="Times New Roman"/>
        </w:rPr>
        <w:fldChar w:fldCharType="begin"/>
      </w:r>
      <w:r>
        <w:rPr>
          <w:rFonts w:eastAsia="Times New Roman"/>
        </w:rPr>
        <w:instrText xml:space="preserve"> REF _Ref411842571 \h </w:instrText>
      </w:r>
      <w:r w:rsidR="006D3CA6">
        <w:rPr>
          <w:rFonts w:eastAsia="Times New Roman"/>
        </w:rPr>
      </w:r>
      <w:r w:rsidR="006D3CA6">
        <w:rPr>
          <w:rFonts w:eastAsia="Times New Roman"/>
        </w:rPr>
        <w:fldChar w:fldCharType="separate"/>
      </w:r>
      <w:r>
        <w:t xml:space="preserve">Figure </w:t>
      </w:r>
      <w:r>
        <w:rPr>
          <w:noProof/>
        </w:rPr>
        <w:t>5</w:t>
      </w:r>
      <w:r w:rsidR="006D3CA6">
        <w:rPr>
          <w:rFonts w:eastAsia="Times New Roman"/>
        </w:rPr>
        <w:fldChar w:fldCharType="end"/>
      </w:r>
      <w:r>
        <w:rPr>
          <w:rFonts w:eastAsia="Times New Roman"/>
        </w:rPr>
        <w:t>). Cette tâche a occupé l’équipe jusqu’à la fin de l’année et se poursuivra en 2015 avec l’installation des 3 autres parcelles.</w:t>
      </w:r>
    </w:p>
    <w:p w:rsidR="00D26004" w:rsidRDefault="00D26004" w:rsidP="00D26004">
      <w:r>
        <w:rPr>
          <w:rFonts w:eastAsia="Times New Roman"/>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73025</wp:posOffset>
            </wp:positionV>
            <wp:extent cx="3333750" cy="249936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74.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33750" cy="2499360"/>
                    </a:xfrm>
                    <a:prstGeom prst="rect">
                      <a:avLst/>
                    </a:prstGeom>
                  </pic:spPr>
                </pic:pic>
              </a:graphicData>
            </a:graphic>
          </wp:anchor>
        </w:drawing>
      </w:r>
    </w:p>
    <w:p w:rsidR="00D26004" w:rsidRDefault="00D26004" w:rsidP="00D26004"/>
    <w:p w:rsidR="00D26004" w:rsidRDefault="00D26004" w:rsidP="00D26004"/>
    <w:p w:rsidR="00D26004" w:rsidRDefault="00D26004" w:rsidP="00D26004"/>
    <w:p w:rsidR="00D26004" w:rsidRDefault="00D26004" w:rsidP="00D26004"/>
    <w:p w:rsidR="00D26004" w:rsidRDefault="00D26004" w:rsidP="00D26004"/>
    <w:p w:rsidR="00D26004" w:rsidRDefault="00D26004" w:rsidP="00D26004"/>
    <w:p w:rsidR="00D26004" w:rsidRDefault="00D26004" w:rsidP="00D26004"/>
    <w:p w:rsidR="00D26004" w:rsidRDefault="00D26004" w:rsidP="00D26004">
      <w:pPr>
        <w:pStyle w:val="Lgende"/>
      </w:pPr>
      <w:bookmarkStart w:id="16" w:name="_Ref411842571"/>
      <w:r>
        <w:t xml:space="preserve">Figure </w:t>
      </w:r>
      <w:r w:rsidR="006D3CA6">
        <w:fldChar w:fldCharType="begin"/>
      </w:r>
      <w:r>
        <w:instrText xml:space="preserve"> SEQ Figure \* ARABIC </w:instrText>
      </w:r>
      <w:r w:rsidR="006D3CA6">
        <w:fldChar w:fldCharType="separate"/>
      </w:r>
      <w:r>
        <w:rPr>
          <w:noProof/>
        </w:rPr>
        <w:t>5</w:t>
      </w:r>
      <w:r w:rsidR="006D3CA6">
        <w:fldChar w:fldCharType="end"/>
      </w:r>
      <w:bookmarkEnd w:id="16"/>
      <w:r>
        <w:t xml:space="preserve"> : </w:t>
      </w:r>
      <w:r w:rsidRPr="00D9011B">
        <w:rPr>
          <w:b w:val="0"/>
        </w:rPr>
        <w:t>A</w:t>
      </w:r>
      <w:r>
        <w:rPr>
          <w:b w:val="0"/>
        </w:rPr>
        <w:t xml:space="preserve">rbres </w:t>
      </w:r>
      <w:r w:rsidRPr="00D9011B">
        <w:rPr>
          <w:b w:val="0"/>
        </w:rPr>
        <w:t xml:space="preserve"> </w:t>
      </w:r>
      <w:r>
        <w:rPr>
          <w:b w:val="0"/>
        </w:rPr>
        <w:t>inventoriés</w:t>
      </w:r>
      <w:r>
        <w:t xml:space="preserve"> </w:t>
      </w:r>
      <w:r w:rsidRPr="00D9011B">
        <w:rPr>
          <w:b w:val="0"/>
        </w:rPr>
        <w:t xml:space="preserve">dans la parcelle 2 du bloc Sud du dispositif de </w:t>
      </w:r>
      <w:proofErr w:type="spellStart"/>
      <w:r w:rsidRPr="00D9011B">
        <w:rPr>
          <w:b w:val="0"/>
        </w:rPr>
        <w:t>Mokabi</w:t>
      </w:r>
      <w:proofErr w:type="spellEnd"/>
      <w:r w:rsidRPr="00D9011B">
        <w:rPr>
          <w:b w:val="0"/>
        </w:rPr>
        <w:t xml:space="preserve"> SA</w:t>
      </w:r>
    </w:p>
    <w:p w:rsidR="00D26004" w:rsidRPr="00E457C1" w:rsidRDefault="00D26004" w:rsidP="00D26004">
      <w:pPr>
        <w:pStyle w:val="Titre2"/>
      </w:pPr>
      <w:bookmarkStart w:id="17" w:name="_Toc411780310"/>
      <w:r w:rsidRPr="00E457C1">
        <w:t>Etat d’avancement du programme</w:t>
      </w:r>
      <w:bookmarkEnd w:id="5"/>
      <w:bookmarkEnd w:id="6"/>
      <w:bookmarkEnd w:id="7"/>
      <w:bookmarkEnd w:id="8"/>
      <w:bookmarkEnd w:id="17"/>
    </w:p>
    <w:p w:rsidR="00D26004" w:rsidRDefault="00D26004" w:rsidP="00D26004">
      <w:pPr>
        <w:rPr>
          <w:lang w:val="fr-BE" w:eastAsia="en-US"/>
        </w:rPr>
      </w:pPr>
    </w:p>
    <w:p w:rsidR="00D26004" w:rsidRDefault="00D26004" w:rsidP="00D26004">
      <w:pPr>
        <w:jc w:val="both"/>
        <w:rPr>
          <w:rFonts w:cs="Times New Roman"/>
          <w:szCs w:val="24"/>
        </w:rPr>
      </w:pPr>
      <w:r>
        <w:rPr>
          <w:rFonts w:cs="Times New Roman"/>
          <w:szCs w:val="24"/>
        </w:rPr>
        <w:t xml:space="preserve">On trouvera dans le </w:t>
      </w:r>
      <w:r w:rsidR="006D3CA6">
        <w:rPr>
          <w:rFonts w:cs="Times New Roman"/>
          <w:szCs w:val="24"/>
        </w:rPr>
        <w:fldChar w:fldCharType="begin"/>
      </w:r>
      <w:r>
        <w:rPr>
          <w:rFonts w:cs="Times New Roman"/>
          <w:szCs w:val="24"/>
        </w:rPr>
        <w:instrText xml:space="preserve"> REF _Ref411843262 \h </w:instrText>
      </w:r>
      <w:r w:rsidR="006D3CA6">
        <w:rPr>
          <w:rFonts w:cs="Times New Roman"/>
          <w:szCs w:val="24"/>
        </w:rPr>
      </w:r>
      <w:r w:rsidR="006D3CA6">
        <w:rPr>
          <w:rFonts w:cs="Times New Roman"/>
          <w:szCs w:val="24"/>
        </w:rPr>
        <w:fldChar w:fldCharType="separate"/>
      </w:r>
      <w:r>
        <w:t xml:space="preserve">Tableau </w:t>
      </w:r>
      <w:r>
        <w:rPr>
          <w:noProof/>
        </w:rPr>
        <w:t>2</w:t>
      </w:r>
      <w:r w:rsidR="006D3CA6">
        <w:rPr>
          <w:rFonts w:cs="Times New Roman"/>
          <w:szCs w:val="24"/>
        </w:rPr>
        <w:fldChar w:fldCharType="end"/>
      </w:r>
      <w:r>
        <w:rPr>
          <w:rFonts w:cs="Times New Roman"/>
          <w:szCs w:val="24"/>
        </w:rPr>
        <w:t xml:space="preserve"> ci-dessous un récapitulatif des opérations d’installation réalisées depuis le démarrage du projet sur les deux sites de CIB-</w:t>
      </w:r>
      <w:proofErr w:type="spellStart"/>
      <w:r>
        <w:rPr>
          <w:rFonts w:cs="Times New Roman"/>
          <w:szCs w:val="24"/>
        </w:rPr>
        <w:t>Olam</w:t>
      </w:r>
      <w:proofErr w:type="spellEnd"/>
      <w:r>
        <w:rPr>
          <w:rFonts w:cs="Times New Roman"/>
          <w:szCs w:val="24"/>
        </w:rPr>
        <w:t xml:space="preserve"> et </w:t>
      </w:r>
      <w:proofErr w:type="spellStart"/>
      <w:r>
        <w:rPr>
          <w:rFonts w:cs="Times New Roman"/>
          <w:szCs w:val="24"/>
        </w:rPr>
        <w:t>Mokabi</w:t>
      </w:r>
      <w:proofErr w:type="spellEnd"/>
      <w:r>
        <w:rPr>
          <w:rFonts w:cs="Times New Roman"/>
          <w:szCs w:val="24"/>
        </w:rPr>
        <w:t>-SA.</w:t>
      </w:r>
    </w:p>
    <w:p w:rsidR="00D26004" w:rsidRDefault="00D26004" w:rsidP="00D26004">
      <w:bookmarkStart w:id="18" w:name="_Toc377393349"/>
      <w:bookmarkStart w:id="19" w:name="_Toc377393629"/>
      <w:bookmarkStart w:id="20" w:name="_Toc377393805"/>
      <w:bookmarkStart w:id="21" w:name="_Toc378006076"/>
      <w:r w:rsidRPr="00E06141">
        <w:rPr>
          <w:noProof/>
        </w:rPr>
        <w:drawing>
          <wp:inline distT="0" distB="0" distL="0" distR="0">
            <wp:extent cx="5514975" cy="324267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3152" cy="3241604"/>
                    </a:xfrm>
                    <a:prstGeom prst="rect">
                      <a:avLst/>
                    </a:prstGeom>
                    <a:noFill/>
                    <a:ln>
                      <a:noFill/>
                    </a:ln>
                  </pic:spPr>
                </pic:pic>
              </a:graphicData>
            </a:graphic>
          </wp:inline>
        </w:drawing>
      </w:r>
    </w:p>
    <w:p w:rsidR="00D26004" w:rsidRDefault="00D26004" w:rsidP="00D26004">
      <w:pPr>
        <w:pStyle w:val="Lgende"/>
        <w:rPr>
          <w:b w:val="0"/>
        </w:rPr>
      </w:pPr>
      <w:bookmarkStart w:id="22" w:name="_Ref411843262"/>
      <w:r>
        <w:t xml:space="preserve">Tableau </w:t>
      </w:r>
      <w:r w:rsidR="006D3CA6">
        <w:fldChar w:fldCharType="begin"/>
      </w:r>
      <w:r>
        <w:instrText xml:space="preserve"> SEQ Tableau \* ARABIC </w:instrText>
      </w:r>
      <w:r w:rsidR="006D3CA6">
        <w:fldChar w:fldCharType="separate"/>
      </w:r>
      <w:r>
        <w:rPr>
          <w:noProof/>
        </w:rPr>
        <w:t>2</w:t>
      </w:r>
      <w:r w:rsidR="006D3CA6">
        <w:fldChar w:fldCharType="end"/>
      </w:r>
      <w:bookmarkEnd w:id="22"/>
      <w:r>
        <w:t xml:space="preserve"> : </w:t>
      </w:r>
      <w:r w:rsidRPr="00E06141">
        <w:rPr>
          <w:b w:val="0"/>
        </w:rPr>
        <w:t>Récapitulatif des opérations effectuées depuis le démarrage du projet</w:t>
      </w:r>
    </w:p>
    <w:p w:rsidR="00D26004" w:rsidRPr="002341E7" w:rsidRDefault="00D26004" w:rsidP="00D26004">
      <w:pPr>
        <w:rPr>
          <w:lang w:val="fr-BE" w:eastAsia="en-US"/>
        </w:rPr>
      </w:pPr>
      <w:r>
        <w:rPr>
          <w:lang w:val="fr-BE" w:eastAsia="en-US"/>
        </w:rPr>
        <w:t>N.B. Jean-François Gillet qui suivait de manière rapprochée l’installation des dispositifs depuis le démarrage a fini son contrat en mars 2014.</w:t>
      </w:r>
    </w:p>
    <w:bookmarkEnd w:id="18"/>
    <w:bookmarkEnd w:id="19"/>
    <w:bookmarkEnd w:id="20"/>
    <w:bookmarkEnd w:id="21"/>
    <w:p w:rsidR="00D26004" w:rsidRPr="000E43AC" w:rsidRDefault="00D26004" w:rsidP="00D26004">
      <w:pPr>
        <w:spacing w:after="240" w:line="240" w:lineRule="auto"/>
        <w:rPr>
          <w:b/>
          <w:szCs w:val="24"/>
        </w:rPr>
      </w:pPr>
      <w:r w:rsidRPr="00D53923">
        <w:rPr>
          <w:b/>
          <w:szCs w:val="24"/>
        </w:rPr>
        <w:t>Annexe 1 :</w:t>
      </w:r>
      <w:r>
        <w:rPr>
          <w:b/>
          <w:szCs w:val="24"/>
        </w:rPr>
        <w:t xml:space="preserve"> Protocole d’installation des parcelles de 9 ha</w:t>
      </w:r>
    </w:p>
    <w:p w:rsidR="00D26004" w:rsidRDefault="00D26004" w:rsidP="00D26004">
      <w:pPr>
        <w:ind w:left="284"/>
        <w:jc w:val="both"/>
        <w:rPr>
          <w:color w:val="000000" w:themeColor="text1"/>
        </w:rPr>
      </w:pPr>
      <w:r>
        <w:rPr>
          <w:color w:val="000000" w:themeColor="text1"/>
        </w:rPr>
        <w:t>1) reprise de la-délimitation de l’ensemble des 9 ha, avec</w:t>
      </w:r>
      <w:r w:rsidRPr="00D53923">
        <w:rPr>
          <w:color w:val="000000" w:themeColor="text1"/>
        </w:rPr>
        <w:t xml:space="preserve"> </w:t>
      </w:r>
      <w:proofErr w:type="spellStart"/>
      <w:r>
        <w:rPr>
          <w:color w:val="000000" w:themeColor="text1"/>
        </w:rPr>
        <w:t>re-positionnement</w:t>
      </w:r>
      <w:proofErr w:type="spellEnd"/>
      <w:r>
        <w:rPr>
          <w:color w:val="000000" w:themeColor="text1"/>
        </w:rPr>
        <w:t xml:space="preserve"> rigoureux, à la boussole et au décamètre, des layons sud-nord et ouest-est délimitant les carrés de 1 ha.</w:t>
      </w:r>
      <w:r w:rsidRPr="00D53923">
        <w:rPr>
          <w:color w:val="000000" w:themeColor="text1"/>
        </w:rPr>
        <w:t xml:space="preserve"> </w:t>
      </w:r>
      <w:r>
        <w:rPr>
          <w:color w:val="000000" w:themeColor="text1"/>
        </w:rPr>
        <w:t>(Fig.1)</w:t>
      </w:r>
    </w:p>
    <w:p w:rsidR="00D26004" w:rsidRDefault="00D26004" w:rsidP="00D26004">
      <w:pPr>
        <w:ind w:left="284"/>
        <w:jc w:val="both"/>
        <w:rPr>
          <w:color w:val="000000" w:themeColor="text1"/>
        </w:rPr>
      </w:pPr>
      <w:r>
        <w:rPr>
          <w:color w:val="000000" w:themeColor="text1"/>
        </w:rPr>
        <w:t xml:space="preserve">2) positionnement, à la boussole et au décamètre, de layons sud-nord et ouest-est tous les 25 m au sein du carré, délimitant ainsi 16 </w:t>
      </w:r>
      <w:proofErr w:type="spellStart"/>
      <w:r>
        <w:rPr>
          <w:color w:val="000000" w:themeColor="text1"/>
        </w:rPr>
        <w:t>placeaux</w:t>
      </w:r>
      <w:proofErr w:type="spellEnd"/>
      <w:r>
        <w:rPr>
          <w:color w:val="000000" w:themeColor="text1"/>
        </w:rPr>
        <w:t xml:space="preserve"> de 625 m</w:t>
      </w:r>
      <w:r w:rsidRPr="00615B3B">
        <w:rPr>
          <w:color w:val="000000" w:themeColor="text1"/>
          <w:vertAlign w:val="superscript"/>
        </w:rPr>
        <w:t>2</w:t>
      </w:r>
      <w:r>
        <w:rPr>
          <w:color w:val="000000" w:themeColor="text1"/>
        </w:rPr>
        <w:t xml:space="preserve"> (Fig.1). Le tracé de ces layons doit être fait en limitant au maximum les dégâts à la végétation ligneuse ; l’usage des machettes doit ensuite être proscrit dans le carré (Fig</w:t>
      </w:r>
      <w:r w:rsidRPr="00CE7417">
        <w:rPr>
          <w:color w:val="000000" w:themeColor="text1"/>
        </w:rPr>
        <w:t>.</w:t>
      </w:r>
      <w:r>
        <w:rPr>
          <w:color w:val="000000" w:themeColor="text1"/>
        </w:rPr>
        <w:t>3) ;</w:t>
      </w:r>
    </w:p>
    <w:p w:rsidR="00D26004" w:rsidRDefault="00D26004" w:rsidP="00D26004">
      <w:pPr>
        <w:jc w:val="both"/>
        <w:rPr>
          <w:color w:val="000000" w:themeColor="text1"/>
        </w:rPr>
      </w:pPr>
      <w:r w:rsidRPr="00137934">
        <w:rPr>
          <w:noProof/>
        </w:rPr>
        <w:lastRenderedPageBreak/>
        <w:drawing>
          <wp:inline distT="0" distB="0" distL="0" distR="0">
            <wp:extent cx="5050564" cy="399097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52479" cy="3992488"/>
                    </a:xfrm>
                    <a:prstGeom prst="rect">
                      <a:avLst/>
                    </a:prstGeom>
                    <a:noFill/>
                    <a:ln w="9525">
                      <a:noFill/>
                      <a:miter lim="800000"/>
                      <a:headEnd/>
                      <a:tailEnd/>
                    </a:ln>
                  </pic:spPr>
                </pic:pic>
              </a:graphicData>
            </a:graphic>
          </wp:inline>
        </w:drawing>
      </w:r>
    </w:p>
    <w:p w:rsidR="00D26004" w:rsidRDefault="00D26004" w:rsidP="00D26004">
      <w:pPr>
        <w:jc w:val="both"/>
        <w:rPr>
          <w:color w:val="000000" w:themeColor="text1"/>
          <w:sz w:val="20"/>
          <w:szCs w:val="20"/>
        </w:rPr>
      </w:pPr>
      <w:r>
        <w:rPr>
          <w:b/>
          <w:color w:val="000000" w:themeColor="text1"/>
          <w:sz w:val="20"/>
          <w:szCs w:val="20"/>
        </w:rPr>
        <w:t>Fig.1</w:t>
      </w:r>
      <w:r w:rsidRPr="00403B1B">
        <w:rPr>
          <w:b/>
          <w:color w:val="000000" w:themeColor="text1"/>
          <w:sz w:val="20"/>
          <w:szCs w:val="20"/>
        </w:rPr>
        <w:t>.</w:t>
      </w:r>
      <w:r w:rsidRPr="00403B1B">
        <w:rPr>
          <w:color w:val="000000" w:themeColor="text1"/>
          <w:sz w:val="20"/>
          <w:szCs w:val="20"/>
        </w:rPr>
        <w:t xml:space="preserve"> Schéma d’installation d’une parcelle permanente. Etape 1 : repositionnement rigoureux de la parcelle et des layons séparant les 9 carrés de 1 ha. Etape 2 : ouverture de légers layons intermédiaires tous les 25 m, séparant 16 </w:t>
      </w:r>
      <w:proofErr w:type="spellStart"/>
      <w:r w:rsidRPr="00403B1B">
        <w:rPr>
          <w:color w:val="000000" w:themeColor="text1"/>
          <w:sz w:val="20"/>
          <w:szCs w:val="20"/>
        </w:rPr>
        <w:t>placeaux</w:t>
      </w:r>
      <w:proofErr w:type="spellEnd"/>
      <w:r w:rsidRPr="00403B1B">
        <w:rPr>
          <w:color w:val="000000" w:themeColor="text1"/>
          <w:sz w:val="20"/>
          <w:szCs w:val="20"/>
        </w:rPr>
        <w:t xml:space="preserve"> de 625 m</w:t>
      </w:r>
      <w:r w:rsidRPr="00403B1B">
        <w:rPr>
          <w:color w:val="000000" w:themeColor="text1"/>
          <w:sz w:val="20"/>
          <w:szCs w:val="20"/>
          <w:vertAlign w:val="superscript"/>
        </w:rPr>
        <w:t>2</w:t>
      </w:r>
      <w:r w:rsidRPr="00403B1B">
        <w:rPr>
          <w:color w:val="000000" w:themeColor="text1"/>
          <w:sz w:val="20"/>
          <w:szCs w:val="20"/>
        </w:rPr>
        <w:t xml:space="preserve">. Le positionnement, la numérotation et la mesure des arbres se font </w:t>
      </w:r>
      <w:proofErr w:type="spellStart"/>
      <w:r w:rsidRPr="00403B1B">
        <w:rPr>
          <w:color w:val="000000" w:themeColor="text1"/>
          <w:sz w:val="20"/>
          <w:szCs w:val="20"/>
        </w:rPr>
        <w:t>placeau</w:t>
      </w:r>
      <w:proofErr w:type="spellEnd"/>
      <w:r w:rsidRPr="00403B1B">
        <w:rPr>
          <w:color w:val="000000" w:themeColor="text1"/>
          <w:sz w:val="20"/>
          <w:szCs w:val="20"/>
        </w:rPr>
        <w:t xml:space="preserve"> par </w:t>
      </w:r>
      <w:proofErr w:type="spellStart"/>
      <w:r w:rsidRPr="00403B1B">
        <w:rPr>
          <w:color w:val="000000" w:themeColor="text1"/>
          <w:sz w:val="20"/>
          <w:szCs w:val="20"/>
        </w:rPr>
        <w:t>placeau</w:t>
      </w:r>
      <w:proofErr w:type="spellEnd"/>
      <w:r w:rsidRPr="00403B1B">
        <w:rPr>
          <w:color w:val="000000" w:themeColor="text1"/>
          <w:sz w:val="20"/>
          <w:szCs w:val="20"/>
        </w:rPr>
        <w:t>. La numérotation des arbres est continue au sein de chaque carré (on repart à 0 en changeant de carré).</w:t>
      </w:r>
    </w:p>
    <w:p w:rsidR="00D26004" w:rsidRDefault="00D26004" w:rsidP="00D26004">
      <w:pPr>
        <w:jc w:val="both"/>
        <w:rPr>
          <w:color w:val="000000" w:themeColor="text1"/>
          <w:sz w:val="20"/>
          <w:szCs w:val="20"/>
        </w:rPr>
      </w:pPr>
    </w:p>
    <w:p w:rsidR="00D26004" w:rsidRDefault="00D26004" w:rsidP="00D26004">
      <w:pPr>
        <w:ind w:left="284"/>
        <w:jc w:val="both"/>
        <w:rPr>
          <w:color w:val="000000" w:themeColor="text1"/>
        </w:rPr>
      </w:pPr>
      <w:r>
        <w:rPr>
          <w:color w:val="000000" w:themeColor="text1"/>
        </w:rPr>
        <w:t xml:space="preserve">3) pour chaque </w:t>
      </w:r>
      <w:proofErr w:type="spellStart"/>
      <w:r>
        <w:rPr>
          <w:color w:val="000000" w:themeColor="text1"/>
        </w:rPr>
        <w:t>placeau</w:t>
      </w:r>
      <w:proofErr w:type="spellEnd"/>
      <w:r>
        <w:rPr>
          <w:color w:val="000000" w:themeColor="text1"/>
        </w:rPr>
        <w:t xml:space="preserve"> de 625 m</w:t>
      </w:r>
      <w:r w:rsidRPr="00DE2DD8">
        <w:rPr>
          <w:color w:val="000000" w:themeColor="text1"/>
          <w:vertAlign w:val="superscript"/>
        </w:rPr>
        <w:t>2</w:t>
      </w:r>
      <w:r>
        <w:rPr>
          <w:color w:val="000000" w:themeColor="text1"/>
        </w:rPr>
        <w:t> (Fig.2) il faut :</w:t>
      </w:r>
    </w:p>
    <w:p w:rsidR="00D26004" w:rsidRPr="00403B1B" w:rsidRDefault="00D26004" w:rsidP="00D26004">
      <w:pPr>
        <w:pStyle w:val="Paragraphedeliste"/>
        <w:numPr>
          <w:ilvl w:val="0"/>
          <w:numId w:val="3"/>
        </w:numPr>
        <w:ind w:left="709"/>
        <w:jc w:val="both"/>
        <w:rPr>
          <w:color w:val="000000" w:themeColor="text1"/>
        </w:rPr>
      </w:pPr>
      <w:r w:rsidRPr="00403B1B">
        <w:rPr>
          <w:color w:val="000000" w:themeColor="text1"/>
        </w:rPr>
        <w:t xml:space="preserve">Positionner deux triples décamètres au sol le long des layons sud et </w:t>
      </w:r>
      <w:r>
        <w:rPr>
          <w:color w:val="000000" w:themeColor="text1"/>
        </w:rPr>
        <w:t>ou</w:t>
      </w:r>
      <w:r w:rsidRPr="00403B1B">
        <w:rPr>
          <w:color w:val="000000" w:themeColor="text1"/>
        </w:rPr>
        <w:t>est qui représentent respectivement l’axe des abscisses et l’axe des ordonnées ;</w:t>
      </w:r>
    </w:p>
    <w:p w:rsidR="00D26004" w:rsidRPr="00403B1B" w:rsidRDefault="00D26004" w:rsidP="00D26004">
      <w:pPr>
        <w:pStyle w:val="Paragraphedeliste"/>
        <w:numPr>
          <w:ilvl w:val="0"/>
          <w:numId w:val="3"/>
        </w:numPr>
        <w:ind w:left="709"/>
        <w:jc w:val="both"/>
        <w:rPr>
          <w:color w:val="000000" w:themeColor="text1"/>
        </w:rPr>
      </w:pPr>
      <w:r w:rsidRPr="00403B1B">
        <w:rPr>
          <w:color w:val="000000" w:themeColor="text1"/>
        </w:rPr>
        <w:t>Se déplacer d’arbre en arbre suivant le cheminement indiqué Fig.3. Pour chaque arbre :</w:t>
      </w:r>
    </w:p>
    <w:p w:rsidR="00D26004" w:rsidRPr="00403B1B" w:rsidRDefault="00D26004" w:rsidP="00D26004">
      <w:pPr>
        <w:pStyle w:val="Paragraphedeliste"/>
        <w:numPr>
          <w:ilvl w:val="0"/>
          <w:numId w:val="4"/>
        </w:numPr>
        <w:jc w:val="both"/>
        <w:rPr>
          <w:color w:val="000000" w:themeColor="text1"/>
        </w:rPr>
      </w:pPr>
      <w:r>
        <w:rPr>
          <w:color w:val="000000" w:themeColor="text1"/>
        </w:rPr>
        <w:t>a</w:t>
      </w:r>
      <w:r w:rsidRPr="00403B1B">
        <w:rPr>
          <w:color w:val="000000" w:themeColor="text1"/>
        </w:rPr>
        <w:t xml:space="preserve">ttribuer un numéro. La numérotation va de 1 au nombre d’arbres présents sur l’ensemble du </w:t>
      </w:r>
      <w:proofErr w:type="spellStart"/>
      <w:r w:rsidRPr="00403B1B">
        <w:rPr>
          <w:color w:val="000000" w:themeColor="text1"/>
        </w:rPr>
        <w:t>placeau</w:t>
      </w:r>
      <w:proofErr w:type="spellEnd"/>
      <w:r w:rsidRPr="00403B1B">
        <w:rPr>
          <w:color w:val="000000" w:themeColor="text1"/>
        </w:rPr>
        <w:t> ;</w:t>
      </w:r>
    </w:p>
    <w:p w:rsidR="00D26004" w:rsidRPr="00403B1B" w:rsidRDefault="00D26004" w:rsidP="00D26004">
      <w:pPr>
        <w:pStyle w:val="Paragraphedeliste"/>
        <w:numPr>
          <w:ilvl w:val="0"/>
          <w:numId w:val="4"/>
        </w:numPr>
        <w:jc w:val="both"/>
        <w:rPr>
          <w:color w:val="000000" w:themeColor="text1"/>
        </w:rPr>
      </w:pPr>
      <w:r>
        <w:rPr>
          <w:color w:val="000000" w:themeColor="text1"/>
        </w:rPr>
        <w:t>l</w:t>
      </w:r>
      <w:r w:rsidRPr="00403B1B">
        <w:rPr>
          <w:color w:val="000000" w:themeColor="text1"/>
        </w:rPr>
        <w:t>’identifier botaniquement si possible. Une vérification sera faite ultérieurement par un botaniste ;</w:t>
      </w:r>
    </w:p>
    <w:p w:rsidR="00D26004" w:rsidRPr="00403B1B" w:rsidRDefault="00D26004" w:rsidP="00D26004">
      <w:pPr>
        <w:pStyle w:val="Paragraphedeliste"/>
        <w:numPr>
          <w:ilvl w:val="0"/>
          <w:numId w:val="5"/>
        </w:numPr>
        <w:ind w:left="1276"/>
        <w:jc w:val="both"/>
        <w:rPr>
          <w:color w:val="000000" w:themeColor="text1"/>
        </w:rPr>
      </w:pPr>
      <w:r w:rsidRPr="00403B1B">
        <w:rPr>
          <w:color w:val="000000" w:themeColor="text1"/>
        </w:rPr>
        <w:t xml:space="preserve">Lui attribuer des coordonnées en utilisant les triples décamètres. Afin d’éviter les erreurs de positionnement, les coordonnées sont attribuées en considérant que l’origine de chaque </w:t>
      </w:r>
      <w:proofErr w:type="spellStart"/>
      <w:r w:rsidRPr="00403B1B">
        <w:rPr>
          <w:color w:val="000000" w:themeColor="text1"/>
        </w:rPr>
        <w:t>placeau</w:t>
      </w:r>
      <w:proofErr w:type="spellEnd"/>
      <w:r w:rsidRPr="00403B1B">
        <w:rPr>
          <w:color w:val="000000" w:themeColor="text1"/>
        </w:rPr>
        <w:t xml:space="preserve"> a pour coordonnées (0,0). Ainsi, sur les fiches de terrain, les arbres auront toujours des coordonnées comprises entre 0 et 25 m. Au bureau, il faudra ensuite affecter aux arbres leurs coordonnées définitives, c’est-à-dire dans un repère dont l’origine est située au coin sud-ouest de la parcelle permanente de 9 ha. Il faut pour cela soigneusement noter le numéro </w:t>
      </w:r>
      <w:r>
        <w:rPr>
          <w:color w:val="000000" w:themeColor="text1"/>
        </w:rPr>
        <w:t xml:space="preserve">du carré et </w:t>
      </w:r>
      <w:r w:rsidRPr="00403B1B">
        <w:rPr>
          <w:color w:val="000000" w:themeColor="text1"/>
        </w:rPr>
        <w:t xml:space="preserve">du </w:t>
      </w:r>
      <w:proofErr w:type="spellStart"/>
      <w:r w:rsidRPr="00403B1B">
        <w:rPr>
          <w:color w:val="000000" w:themeColor="text1"/>
        </w:rPr>
        <w:t>placeau</w:t>
      </w:r>
      <w:proofErr w:type="spellEnd"/>
      <w:r w:rsidRPr="00403B1B">
        <w:rPr>
          <w:color w:val="000000" w:themeColor="text1"/>
        </w:rPr>
        <w:t xml:space="preserve"> sur la fiche d’inventaire (voir annexe </w:t>
      </w:r>
      <w:r w:rsidRPr="007C42EB">
        <w:rPr>
          <w:color w:val="000000" w:themeColor="text1"/>
        </w:rPr>
        <w:t>3</w:t>
      </w:r>
      <w:r w:rsidRPr="00403B1B">
        <w:rPr>
          <w:color w:val="000000" w:themeColor="text1"/>
        </w:rPr>
        <w:t>) ;</w:t>
      </w:r>
    </w:p>
    <w:p w:rsidR="00D26004" w:rsidRPr="00403B1B" w:rsidRDefault="00D26004" w:rsidP="00D26004">
      <w:pPr>
        <w:pStyle w:val="Paragraphedeliste"/>
        <w:numPr>
          <w:ilvl w:val="0"/>
          <w:numId w:val="5"/>
        </w:numPr>
        <w:ind w:left="1276"/>
        <w:jc w:val="both"/>
        <w:rPr>
          <w:color w:val="548DD4" w:themeColor="text2" w:themeTint="99"/>
        </w:rPr>
      </w:pPr>
      <w:r w:rsidRPr="00925BDB">
        <w:rPr>
          <w:color w:val="000000" w:themeColor="text1"/>
        </w:rPr>
        <w:t>Poser un anneau de peinture à l’endroit où seront faites les mesures de circonférence</w:t>
      </w:r>
      <w:r>
        <w:rPr>
          <w:color w:val="000000" w:themeColor="text1"/>
        </w:rPr>
        <w:t xml:space="preserve"> (voir ci-dessous et Fig.6).</w:t>
      </w:r>
    </w:p>
    <w:p w:rsidR="00D26004" w:rsidRDefault="00D26004" w:rsidP="00D26004">
      <w:pPr>
        <w:jc w:val="both"/>
        <w:rPr>
          <w:color w:val="000000" w:themeColor="text1"/>
        </w:rPr>
      </w:pPr>
      <w:r w:rsidRPr="00074CEC">
        <w:rPr>
          <w:noProof/>
        </w:rPr>
        <w:lastRenderedPageBreak/>
        <w:drawing>
          <wp:inline distT="0" distB="0" distL="0" distR="0">
            <wp:extent cx="4399280" cy="3709670"/>
            <wp:effectExtent l="0" t="0" r="0" b="0"/>
            <wp:docPr id="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399280" cy="3709670"/>
                    </a:xfrm>
                    <a:prstGeom prst="rect">
                      <a:avLst/>
                    </a:prstGeom>
                    <a:noFill/>
                    <a:ln w="9525">
                      <a:noFill/>
                      <a:miter lim="800000"/>
                      <a:headEnd/>
                      <a:tailEnd/>
                    </a:ln>
                  </pic:spPr>
                </pic:pic>
              </a:graphicData>
            </a:graphic>
          </wp:inline>
        </w:drawing>
      </w:r>
    </w:p>
    <w:p w:rsidR="00D26004" w:rsidRDefault="00D26004" w:rsidP="00D26004">
      <w:pPr>
        <w:jc w:val="both"/>
        <w:rPr>
          <w:color w:val="000000" w:themeColor="text1"/>
          <w:sz w:val="20"/>
          <w:szCs w:val="20"/>
        </w:rPr>
      </w:pPr>
      <w:r>
        <w:rPr>
          <w:b/>
          <w:color w:val="000000" w:themeColor="text1"/>
          <w:sz w:val="20"/>
          <w:szCs w:val="20"/>
        </w:rPr>
        <w:t>Fig.2</w:t>
      </w:r>
      <w:r w:rsidRPr="00962F9A">
        <w:rPr>
          <w:b/>
          <w:color w:val="000000" w:themeColor="text1"/>
          <w:sz w:val="20"/>
          <w:szCs w:val="20"/>
        </w:rPr>
        <w:t>.</w:t>
      </w:r>
      <w:r w:rsidRPr="00962F9A">
        <w:rPr>
          <w:color w:val="000000" w:themeColor="text1"/>
          <w:sz w:val="20"/>
          <w:szCs w:val="20"/>
        </w:rPr>
        <w:t xml:space="preserve"> Schéma de numérotation des arbres au sein de chaque </w:t>
      </w:r>
      <w:proofErr w:type="spellStart"/>
      <w:r w:rsidRPr="00962F9A">
        <w:rPr>
          <w:color w:val="000000" w:themeColor="text1"/>
          <w:sz w:val="20"/>
          <w:szCs w:val="20"/>
        </w:rPr>
        <w:t>placeau</w:t>
      </w:r>
      <w:proofErr w:type="spellEnd"/>
      <w:r w:rsidRPr="00962F9A">
        <w:rPr>
          <w:color w:val="000000" w:themeColor="text1"/>
          <w:sz w:val="20"/>
          <w:szCs w:val="20"/>
        </w:rPr>
        <w:t>. Les deux triples décamètres, posés au sol, permettent de se repérer dans l’espace. L’observateur A se positionne près de l’arbre. L’observateur B se déplace le long de l’axe des abscisses (axe des X, direction ouest-est), vers l’est, jusqu’à pouvoir viser plein nord l’arbre près duquel se tient A. Il peut alors lire directement l’abscisse X sur le décamètre. Pour obtenir Y, l’observateur C, se déplace le long de l’axe des ordonnées (direction sud-nord) vers le nord,  jusqu’à pouvoir viser plein est l’arbre près duquel se tient A. Il peut alors lire directement l’abscisse Y sur le décamètre. Une autre solution consiste à tirer un décamètre entre A et C (direction ouest-est) pour obtenir directement X, et entre A et B (direction sud-nord) pour obtenir directement Y. Lorsque l’arbre est trop éloigné des axes, il faut le positionner relativement à un autre arbre déjà positionné (dont les coordonnées servent d’origine temporaire).</w:t>
      </w:r>
    </w:p>
    <w:p w:rsidR="00D26004" w:rsidRDefault="00D26004" w:rsidP="00D26004">
      <w:pPr>
        <w:jc w:val="both"/>
        <w:rPr>
          <w:color w:val="000000" w:themeColor="text1"/>
          <w:sz w:val="20"/>
          <w:szCs w:val="20"/>
        </w:rPr>
      </w:pPr>
      <w:r>
        <w:rPr>
          <w:noProof/>
          <w:color w:val="000000" w:themeColor="text1"/>
          <w:sz w:val="20"/>
          <w:szCs w:val="20"/>
        </w:rPr>
        <w:drawing>
          <wp:inline distT="0" distB="0" distL="0" distR="0">
            <wp:extent cx="3726521" cy="2096219"/>
            <wp:effectExtent l="19050" t="0" r="7279" b="0"/>
            <wp:docPr id="29" name="Image 14" descr="P1060263_Mokabi_Carré164_Consigne sécurité machettes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263_Mokabi_Carré164_Consigne sécurité machettes_Red.jpg"/>
                    <pic:cNvPicPr/>
                  </pic:nvPicPr>
                  <pic:blipFill>
                    <a:blip r:embed="rId28" cstate="print"/>
                    <a:stretch>
                      <a:fillRect/>
                    </a:stretch>
                  </pic:blipFill>
                  <pic:spPr>
                    <a:xfrm>
                      <a:off x="0" y="0"/>
                      <a:ext cx="3725746" cy="2095783"/>
                    </a:xfrm>
                    <a:prstGeom prst="rect">
                      <a:avLst/>
                    </a:prstGeom>
                  </pic:spPr>
                </pic:pic>
              </a:graphicData>
            </a:graphic>
          </wp:inline>
        </w:drawing>
      </w:r>
    </w:p>
    <w:p w:rsidR="00D26004" w:rsidRDefault="00D26004" w:rsidP="00D26004">
      <w:pPr>
        <w:jc w:val="both"/>
        <w:rPr>
          <w:color w:val="000000" w:themeColor="text1"/>
          <w:sz w:val="20"/>
          <w:szCs w:val="20"/>
        </w:rPr>
      </w:pPr>
      <w:r>
        <w:rPr>
          <w:b/>
          <w:color w:val="000000" w:themeColor="text1"/>
          <w:sz w:val="20"/>
          <w:szCs w:val="20"/>
        </w:rPr>
        <w:t>Fig.3</w:t>
      </w:r>
      <w:r w:rsidRPr="006E1EDA">
        <w:rPr>
          <w:b/>
          <w:color w:val="000000" w:themeColor="text1"/>
          <w:sz w:val="20"/>
          <w:szCs w:val="20"/>
        </w:rPr>
        <w:t>.</w:t>
      </w:r>
      <w:r>
        <w:rPr>
          <w:color w:val="000000" w:themeColor="text1"/>
          <w:sz w:val="20"/>
          <w:szCs w:val="20"/>
        </w:rPr>
        <w:t xml:space="preserve"> Machettes déposées avant le travail sur les </w:t>
      </w:r>
      <w:proofErr w:type="spellStart"/>
      <w:r>
        <w:rPr>
          <w:color w:val="000000" w:themeColor="text1"/>
          <w:sz w:val="20"/>
          <w:szCs w:val="20"/>
        </w:rPr>
        <w:t>placeaux</w:t>
      </w:r>
      <w:proofErr w:type="spellEnd"/>
      <w:r>
        <w:rPr>
          <w:color w:val="000000" w:themeColor="text1"/>
          <w:sz w:val="20"/>
          <w:szCs w:val="20"/>
        </w:rPr>
        <w:t>. Il faut éviter au maximum les dégâts à la végétation, en particulier ligneuse, au sein des parcelles permanentes.</w:t>
      </w:r>
    </w:p>
    <w:p w:rsidR="00D26004" w:rsidRPr="00962F9A" w:rsidRDefault="00D26004" w:rsidP="00D26004">
      <w:pPr>
        <w:jc w:val="both"/>
        <w:rPr>
          <w:color w:val="000000" w:themeColor="text1"/>
          <w:sz w:val="20"/>
          <w:szCs w:val="20"/>
        </w:rPr>
      </w:pPr>
    </w:p>
    <w:p w:rsidR="00D26004" w:rsidRPr="00962F9A" w:rsidRDefault="00D26004" w:rsidP="00D26004">
      <w:pPr>
        <w:jc w:val="both"/>
        <w:rPr>
          <w:b/>
          <w:color w:val="000000" w:themeColor="text1"/>
        </w:rPr>
      </w:pPr>
      <w:r w:rsidRPr="00962F9A">
        <w:rPr>
          <w:b/>
          <w:color w:val="000000" w:themeColor="text1"/>
        </w:rPr>
        <w:t>Rappel des consignes concernant la pose des anneaux de peinture</w:t>
      </w:r>
    </w:p>
    <w:p w:rsidR="00D26004" w:rsidRPr="00482A74" w:rsidRDefault="00D26004" w:rsidP="00D26004">
      <w:pPr>
        <w:jc w:val="both"/>
        <w:rPr>
          <w:color w:val="000000" w:themeColor="text1"/>
        </w:rPr>
      </w:pPr>
      <w:r>
        <w:rPr>
          <w:color w:val="000000" w:themeColor="text1"/>
        </w:rPr>
        <w:lastRenderedPageBreak/>
        <w:t xml:space="preserve">Lors de la pose des anneaux de peinture, </w:t>
      </w:r>
      <w:r w:rsidRPr="00482A74">
        <w:rPr>
          <w:color w:val="000000" w:themeColor="text1"/>
        </w:rPr>
        <w:t>il est impératif de respecter les consignes suivantes.</w:t>
      </w:r>
    </w:p>
    <w:p w:rsidR="00D26004" w:rsidRDefault="00D26004" w:rsidP="00D26004">
      <w:pPr>
        <w:pStyle w:val="Paragraphedeliste"/>
        <w:numPr>
          <w:ilvl w:val="0"/>
          <w:numId w:val="2"/>
        </w:numPr>
        <w:jc w:val="both"/>
        <w:rPr>
          <w:color w:val="000000" w:themeColor="text1"/>
        </w:rPr>
      </w:pPr>
      <w:r w:rsidRPr="00482A74">
        <w:rPr>
          <w:color w:val="000000" w:themeColor="text1"/>
        </w:rPr>
        <w:t xml:space="preserve">Chercher au maximum à conserver la hauteur de référence : 1m30. Il est en effet important de limiter les rehausses de peinture : ces rehausses rendent nécessaires une correction ultérieure de la circonférence pour la ramener à 1m30, et entraînent donc une diminution de la précision de la mesure. </w:t>
      </w:r>
      <w:r>
        <w:rPr>
          <w:color w:val="000000" w:themeColor="text1"/>
        </w:rPr>
        <w:t xml:space="preserve">La position peut être déplacée sans problème de ± 5 cm </w:t>
      </w:r>
      <w:r w:rsidRPr="00482A74">
        <w:rPr>
          <w:color w:val="000000" w:themeColor="text1"/>
        </w:rPr>
        <w:t xml:space="preserve"> </w:t>
      </w:r>
      <w:r>
        <w:rPr>
          <w:color w:val="000000" w:themeColor="text1"/>
        </w:rPr>
        <w:t xml:space="preserve">pour éviter un petit défaut localisé. </w:t>
      </w:r>
      <w:r w:rsidRPr="00482A74">
        <w:rPr>
          <w:b/>
          <w:color w:val="000000" w:themeColor="text1"/>
        </w:rPr>
        <w:t xml:space="preserve">Les méplats du tronc ne doivent pas être considérés comme des défauts entraînant une </w:t>
      </w:r>
      <w:proofErr w:type="gramStart"/>
      <w:r w:rsidRPr="00482A74">
        <w:rPr>
          <w:b/>
          <w:color w:val="000000" w:themeColor="text1"/>
        </w:rPr>
        <w:t>rehaus</w:t>
      </w:r>
      <w:bookmarkStart w:id="23" w:name="_GoBack"/>
      <w:bookmarkEnd w:id="23"/>
      <w:r w:rsidRPr="00482A74">
        <w:rPr>
          <w:b/>
          <w:color w:val="000000" w:themeColor="text1"/>
        </w:rPr>
        <w:t>se</w:t>
      </w:r>
      <w:proofErr w:type="gramEnd"/>
      <w:r>
        <w:rPr>
          <w:b/>
          <w:color w:val="000000" w:themeColor="text1"/>
        </w:rPr>
        <w:t> : tant que la courbure reste à peu près concave,</w:t>
      </w:r>
      <w:r w:rsidRPr="00482A74">
        <w:rPr>
          <w:color w:val="000000" w:themeColor="text1"/>
        </w:rPr>
        <w:t xml:space="preserve"> on peut poser l’anneau.</w:t>
      </w:r>
    </w:p>
    <w:p w:rsidR="00D26004" w:rsidRDefault="00D26004" w:rsidP="00D26004">
      <w:pPr>
        <w:pStyle w:val="Paragraphedeliste"/>
        <w:numPr>
          <w:ilvl w:val="0"/>
          <w:numId w:val="2"/>
        </w:numPr>
        <w:jc w:val="both"/>
        <w:rPr>
          <w:color w:val="000000" w:themeColor="text1"/>
        </w:rPr>
      </w:pPr>
      <w:r>
        <w:rPr>
          <w:color w:val="000000" w:themeColor="text1"/>
        </w:rPr>
        <w:t xml:space="preserve">Ne pas oublier que la mesure peut être remontée </w:t>
      </w:r>
      <w:r w:rsidRPr="00D97062">
        <w:rPr>
          <w:b/>
          <w:color w:val="000000" w:themeColor="text1"/>
        </w:rPr>
        <w:t>mais aussi descendue</w:t>
      </w:r>
      <w:r>
        <w:rPr>
          <w:color w:val="000000" w:themeColor="text1"/>
        </w:rPr>
        <w:t xml:space="preserve"> par rapport à 1,30 m. Il vaut cependant mieux limiter cette descente dans la mesure où elle conduira à une surestimation du diamètre réel (par principe de précaution, il est préférable de sous-estimer les diamètres réels que de les surestimer). </w:t>
      </w:r>
    </w:p>
    <w:p w:rsidR="00D26004" w:rsidRDefault="00D26004" w:rsidP="00D26004">
      <w:pPr>
        <w:pStyle w:val="Paragraphedeliste"/>
        <w:numPr>
          <w:ilvl w:val="0"/>
          <w:numId w:val="2"/>
        </w:numPr>
        <w:jc w:val="both"/>
        <w:rPr>
          <w:color w:val="000000" w:themeColor="text1"/>
        </w:rPr>
      </w:pPr>
      <w:r>
        <w:rPr>
          <w:color w:val="000000" w:themeColor="text1"/>
        </w:rPr>
        <w:t xml:space="preserve">Comme spécifié dans le protocole COMIFAC, lorsqu’il faut rehausser l’anneau pour faire face à des défauts importants ou au développement rapide de contreforts, la hauteur visée doit être 4,50 m. Il ne </w:t>
      </w:r>
      <w:r w:rsidRPr="00AF09F9">
        <w:rPr>
          <w:color w:val="000000" w:themeColor="text1"/>
        </w:rPr>
        <w:t xml:space="preserve">faut s’écarter de cette nouvelle référence qu’en cas de défaut important constaté à 4,50 m. Il est par ailleurs possible, </w:t>
      </w:r>
      <w:r w:rsidRPr="00AF09F9">
        <w:rPr>
          <w:b/>
          <w:color w:val="000000" w:themeColor="text1"/>
        </w:rPr>
        <w:t>lorsqu’il n’y a pas d’autre solution</w:t>
      </w:r>
      <w:r w:rsidRPr="00AF09F9">
        <w:rPr>
          <w:color w:val="000000" w:themeColor="text1"/>
        </w:rPr>
        <w:t>, de viser d’autres hauteurs de mesure entre 1,80 m et 4,50 m, les circonférences seront ensuite corrigées grâce aux équations de défilement.</w:t>
      </w:r>
    </w:p>
    <w:p w:rsidR="00D26004" w:rsidRDefault="00D26004" w:rsidP="00D26004">
      <w:pPr>
        <w:pStyle w:val="Paragraphedeliste"/>
        <w:numPr>
          <w:ilvl w:val="0"/>
          <w:numId w:val="2"/>
        </w:numPr>
        <w:jc w:val="both"/>
        <w:rPr>
          <w:color w:val="000000" w:themeColor="text1"/>
        </w:rPr>
      </w:pPr>
      <w:r>
        <w:rPr>
          <w:color w:val="000000" w:themeColor="text1"/>
        </w:rPr>
        <w:t xml:space="preserve">Poser le jalon servant à déterminer la hauteur de mesure comme indiqué dans le protocole COMIFAC, </w:t>
      </w:r>
      <w:r w:rsidRPr="00482A74">
        <w:rPr>
          <w:b/>
          <w:color w:val="000000" w:themeColor="text1"/>
        </w:rPr>
        <w:t>en gardant toujours le jalon parallèle au tronc</w:t>
      </w:r>
      <w:r>
        <w:rPr>
          <w:color w:val="000000" w:themeColor="text1"/>
        </w:rPr>
        <w:t xml:space="preserve">. </w:t>
      </w:r>
    </w:p>
    <w:p w:rsidR="00D26004" w:rsidRDefault="00D26004" w:rsidP="00D26004">
      <w:pPr>
        <w:pStyle w:val="Paragraphedeliste"/>
        <w:numPr>
          <w:ilvl w:val="0"/>
          <w:numId w:val="2"/>
        </w:numPr>
        <w:jc w:val="both"/>
        <w:rPr>
          <w:color w:val="000000" w:themeColor="text1"/>
        </w:rPr>
      </w:pPr>
      <w:r>
        <w:rPr>
          <w:color w:val="000000" w:themeColor="text1"/>
        </w:rPr>
        <w:t xml:space="preserve">Bien respecter la pose d’un </w:t>
      </w:r>
      <w:r>
        <w:rPr>
          <w:b/>
          <w:color w:val="000000" w:themeColor="text1"/>
        </w:rPr>
        <w:t>anneau</w:t>
      </w:r>
      <w:r w:rsidRPr="00AF09F9">
        <w:rPr>
          <w:b/>
          <w:color w:val="000000" w:themeColor="text1"/>
        </w:rPr>
        <w:t xml:space="preserve"> rectiligne et perpendiculaire au tronc</w:t>
      </w:r>
      <w:r>
        <w:rPr>
          <w:color w:val="000000" w:themeColor="text1"/>
        </w:rPr>
        <w:t xml:space="preserve">. Deux solutions possibles : (i) poser le ruban, faire vérifier par d’autres co-équipiers la bonne position et rectitude du ruban (en prenant du recul par rapport au tronc, dans toutes les directions), tracer un trait à la craie forestière de part et d’autre du ruban, puis peindre l’anneau entre les deux traits de craie ; (ii) utiliser un ruban adhésif, procéder aux mêmes vérifications que ci-dessus, puis peindre le tronc sur le ruban (ce qui laissera un espace non peint sur lequel il faudra positionner ultérieurement le ruban de mesure). </w:t>
      </w:r>
    </w:p>
    <w:p w:rsidR="00D26004" w:rsidRDefault="00D26004" w:rsidP="00D26004">
      <w:pPr>
        <w:jc w:val="both"/>
        <w:rPr>
          <w:color w:val="000000" w:themeColor="text1"/>
        </w:rPr>
      </w:pPr>
      <w:r>
        <w:rPr>
          <w:color w:val="000000" w:themeColor="text1"/>
        </w:rPr>
        <w:t>Pour estimer le diamètre à 1m30 des arbres sur lesquels un anneau a été posé à 4m50, il sera possible de faire appel à des équations de défilement. Cependant, on gagnera en précision si le défilement est calculé sur l’arbre lui-même. Si la configuration du tronc le permet (= tronc à peu près circulaire), il faut poser un deuxième anneau vers 2m50 (hauteur à adapter) et récupérer les mesures de circonférence aux deux hauteurs.</w:t>
      </w:r>
    </w:p>
    <w:p w:rsidR="00D26004" w:rsidRDefault="00D26004" w:rsidP="00D26004">
      <w:pPr>
        <w:jc w:val="both"/>
        <w:rPr>
          <w:color w:val="000000" w:themeColor="text1"/>
        </w:rPr>
      </w:pPr>
      <w:r w:rsidRPr="007131B5">
        <w:rPr>
          <w:b/>
          <w:color w:val="000000" w:themeColor="text1"/>
        </w:rPr>
        <w:t>NB.</w:t>
      </w:r>
      <w:r>
        <w:rPr>
          <w:color w:val="000000" w:themeColor="text1"/>
        </w:rPr>
        <w:t xml:space="preserve"> Il est très important de vérifier régulièrement que les rubans mesureurs utilisés ne se déforment pas, en </w:t>
      </w:r>
      <w:proofErr w:type="gramStart"/>
      <w:r>
        <w:rPr>
          <w:color w:val="000000" w:themeColor="text1"/>
        </w:rPr>
        <w:t>les comparant</w:t>
      </w:r>
      <w:proofErr w:type="gramEnd"/>
      <w:r>
        <w:rPr>
          <w:color w:val="000000" w:themeColor="text1"/>
        </w:rPr>
        <w:t xml:space="preserve"> les uns aux autres.</w:t>
      </w:r>
    </w:p>
    <w:p w:rsidR="00983A52" w:rsidRPr="00D26004" w:rsidRDefault="00D26004">
      <w:pPr>
        <w:rPr>
          <w:szCs w:val="24"/>
        </w:rPr>
      </w:pPr>
      <w:r>
        <w:rPr>
          <w:szCs w:val="24"/>
        </w:rPr>
        <w:br w:type="page"/>
      </w:r>
    </w:p>
    <w:sectPr w:rsidR="00983A52" w:rsidRPr="00D26004" w:rsidSect="00983A5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ED292C"/>
    <w:multiLevelType w:val="hybridMultilevel"/>
    <w:tmpl w:val="220EE35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459B0945"/>
    <w:multiLevelType w:val="hybridMultilevel"/>
    <w:tmpl w:val="9B88298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6AC60C41"/>
    <w:multiLevelType w:val="hybridMultilevel"/>
    <w:tmpl w:val="1936A8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032073A"/>
    <w:multiLevelType w:val="hybridMultilevel"/>
    <w:tmpl w:val="A282E5D8"/>
    <w:lvl w:ilvl="0" w:tplc="3BDE323E">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35C575F"/>
    <w:multiLevelType w:val="multilevel"/>
    <w:tmpl w:val="F5AC8AF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D26004"/>
    <w:rsid w:val="006D3CA6"/>
    <w:rsid w:val="006E3593"/>
    <w:rsid w:val="00802CFC"/>
    <w:rsid w:val="00983A52"/>
    <w:rsid w:val="00B3725C"/>
    <w:rsid w:val="00D2600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004"/>
    <w:rPr>
      <w:rFonts w:ascii="Times New Roman" w:eastAsiaTheme="minorEastAsia" w:hAnsi="Times New Roman"/>
      <w:sz w:val="24"/>
      <w:lang w:eastAsia="fr-FR"/>
    </w:rPr>
  </w:style>
  <w:style w:type="paragraph" w:styleId="Titre1">
    <w:name w:val="heading 1"/>
    <w:basedOn w:val="Normal"/>
    <w:next w:val="Normal"/>
    <w:link w:val="Titre1Car"/>
    <w:uiPriority w:val="9"/>
    <w:qFormat/>
    <w:rsid w:val="00D26004"/>
    <w:pPr>
      <w:keepNext/>
      <w:keepLines/>
      <w:numPr>
        <w:numId w:val="1"/>
      </w:numPr>
      <w:shd w:val="clear" w:color="auto" w:fill="D6E3BC" w:themeFill="accent3" w:themeFillTint="66"/>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D26004"/>
    <w:pPr>
      <w:keepNext/>
      <w:keepLines/>
      <w:numPr>
        <w:ilvl w:val="1"/>
        <w:numId w:val="1"/>
      </w:numPr>
      <w:shd w:val="clear" w:color="auto" w:fill="D6E3BC" w:themeFill="accent3" w:themeFillTint="66"/>
      <w:spacing w:before="200" w:after="0"/>
      <w:outlineLvl w:val="1"/>
    </w:pPr>
    <w:rPr>
      <w:rFonts w:eastAsiaTheme="majorEastAsia" w:cs="Times New Roman"/>
      <w:b/>
      <w:bCs/>
      <w:sz w:val="26"/>
      <w:szCs w:val="26"/>
      <w:lang w:val="fr-BE" w:eastAsia="en-US"/>
    </w:rPr>
  </w:style>
  <w:style w:type="paragraph" w:styleId="Titre3">
    <w:name w:val="heading 3"/>
    <w:basedOn w:val="Titre1"/>
    <w:next w:val="Normal"/>
    <w:link w:val="Titre3Car"/>
    <w:uiPriority w:val="9"/>
    <w:unhideWhenUsed/>
    <w:qFormat/>
    <w:rsid w:val="00D26004"/>
    <w:pPr>
      <w:numPr>
        <w:ilvl w:val="2"/>
      </w:numPr>
      <w:outlineLvl w:val="2"/>
    </w:pPr>
  </w:style>
  <w:style w:type="paragraph" w:styleId="Titre4">
    <w:name w:val="heading 4"/>
    <w:basedOn w:val="Titre2"/>
    <w:next w:val="Normal"/>
    <w:link w:val="Titre4Car"/>
    <w:uiPriority w:val="9"/>
    <w:unhideWhenUsed/>
    <w:qFormat/>
    <w:rsid w:val="00D26004"/>
    <w:pPr>
      <w:numPr>
        <w:ilvl w:val="3"/>
      </w:numPr>
      <w:outlineLvl w:val="3"/>
    </w:pPr>
  </w:style>
  <w:style w:type="paragraph" w:styleId="Titre5">
    <w:name w:val="heading 5"/>
    <w:basedOn w:val="Normal"/>
    <w:next w:val="Normal"/>
    <w:link w:val="Titre5Car"/>
    <w:uiPriority w:val="9"/>
    <w:semiHidden/>
    <w:unhideWhenUsed/>
    <w:qFormat/>
    <w:rsid w:val="00D2600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2600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2600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2600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2600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004"/>
    <w:rPr>
      <w:rFonts w:asciiTheme="majorHAnsi" w:eastAsiaTheme="majorEastAsia" w:hAnsiTheme="majorHAnsi" w:cstheme="majorBidi"/>
      <w:b/>
      <w:bCs/>
      <w:sz w:val="28"/>
      <w:szCs w:val="28"/>
      <w:shd w:val="clear" w:color="auto" w:fill="D6E3BC" w:themeFill="accent3" w:themeFillTint="66"/>
      <w:lang w:eastAsia="fr-FR"/>
    </w:rPr>
  </w:style>
  <w:style w:type="character" w:customStyle="1" w:styleId="Titre2Car">
    <w:name w:val="Titre 2 Car"/>
    <w:basedOn w:val="Policepardfaut"/>
    <w:link w:val="Titre2"/>
    <w:uiPriority w:val="9"/>
    <w:rsid w:val="00D26004"/>
    <w:rPr>
      <w:rFonts w:ascii="Times New Roman" w:eastAsiaTheme="majorEastAsia" w:hAnsi="Times New Roman" w:cs="Times New Roman"/>
      <w:b/>
      <w:bCs/>
      <w:sz w:val="26"/>
      <w:szCs w:val="26"/>
      <w:shd w:val="clear" w:color="auto" w:fill="D6E3BC" w:themeFill="accent3" w:themeFillTint="66"/>
      <w:lang w:val="fr-BE"/>
    </w:rPr>
  </w:style>
  <w:style w:type="character" w:customStyle="1" w:styleId="Titre3Car">
    <w:name w:val="Titre 3 Car"/>
    <w:basedOn w:val="Policepardfaut"/>
    <w:link w:val="Titre3"/>
    <w:uiPriority w:val="9"/>
    <w:rsid w:val="00D26004"/>
    <w:rPr>
      <w:rFonts w:asciiTheme="majorHAnsi" w:eastAsiaTheme="majorEastAsia" w:hAnsiTheme="majorHAnsi" w:cstheme="majorBidi"/>
      <w:b/>
      <w:bCs/>
      <w:sz w:val="28"/>
      <w:szCs w:val="28"/>
      <w:shd w:val="clear" w:color="auto" w:fill="D6E3BC" w:themeFill="accent3" w:themeFillTint="66"/>
      <w:lang w:eastAsia="fr-FR"/>
    </w:rPr>
  </w:style>
  <w:style w:type="character" w:customStyle="1" w:styleId="Titre4Car">
    <w:name w:val="Titre 4 Car"/>
    <w:basedOn w:val="Policepardfaut"/>
    <w:link w:val="Titre4"/>
    <w:uiPriority w:val="9"/>
    <w:rsid w:val="00D26004"/>
    <w:rPr>
      <w:rFonts w:ascii="Times New Roman" w:eastAsiaTheme="majorEastAsia" w:hAnsi="Times New Roman" w:cs="Times New Roman"/>
      <w:b/>
      <w:bCs/>
      <w:sz w:val="26"/>
      <w:szCs w:val="26"/>
      <w:shd w:val="clear" w:color="auto" w:fill="D6E3BC" w:themeFill="accent3" w:themeFillTint="66"/>
      <w:lang w:val="fr-BE"/>
    </w:rPr>
  </w:style>
  <w:style w:type="character" w:customStyle="1" w:styleId="Titre5Car">
    <w:name w:val="Titre 5 Car"/>
    <w:basedOn w:val="Policepardfaut"/>
    <w:link w:val="Titre5"/>
    <w:uiPriority w:val="9"/>
    <w:semiHidden/>
    <w:rsid w:val="00D26004"/>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D26004"/>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D26004"/>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D26004"/>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D26004"/>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D26004"/>
    <w:pPr>
      <w:spacing w:line="240" w:lineRule="auto"/>
    </w:pPr>
    <w:rPr>
      <w:rFonts w:eastAsiaTheme="minorHAnsi" w:cs="Times New Roman"/>
      <w:b/>
      <w:bCs/>
      <w:sz w:val="20"/>
      <w:szCs w:val="20"/>
      <w:lang w:val="fr-BE" w:eastAsia="en-US"/>
    </w:rPr>
  </w:style>
  <w:style w:type="character" w:customStyle="1" w:styleId="lig1">
    <w:name w:val="lig1"/>
    <w:basedOn w:val="Policepardfaut"/>
    <w:uiPriority w:val="99"/>
    <w:rsid w:val="00D26004"/>
  </w:style>
  <w:style w:type="paragraph" w:styleId="Textedebulles">
    <w:name w:val="Balloon Text"/>
    <w:basedOn w:val="Normal"/>
    <w:link w:val="TextedebullesCar"/>
    <w:uiPriority w:val="99"/>
    <w:semiHidden/>
    <w:unhideWhenUsed/>
    <w:rsid w:val="00D260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004"/>
    <w:rPr>
      <w:rFonts w:ascii="Tahoma" w:eastAsiaTheme="minorEastAsia" w:hAnsi="Tahoma" w:cs="Tahoma"/>
      <w:sz w:val="16"/>
      <w:szCs w:val="16"/>
      <w:lang w:eastAsia="fr-FR"/>
    </w:rPr>
  </w:style>
  <w:style w:type="paragraph" w:styleId="Paragraphedeliste">
    <w:name w:val="List Paragraph"/>
    <w:basedOn w:val="Normal"/>
    <w:uiPriority w:val="34"/>
    <w:qFormat/>
    <w:rsid w:val="00D26004"/>
    <w:pPr>
      <w:ind w:left="720"/>
      <w:contextualSpacing/>
    </w:pPr>
    <w:rPr>
      <w:rFonts w:asciiTheme="minorHAnsi" w:eastAsiaTheme="minorHAnsi" w:hAnsiTheme="minorHAnsi"/>
      <w:sz w:val="22"/>
      <w:lang w:val="fr-BE" w:eastAsia="en-US"/>
    </w:rPr>
  </w:style>
  <w:style w:type="paragraph" w:styleId="Corpsdetexte2">
    <w:name w:val="Body Text 2"/>
    <w:basedOn w:val="Normal"/>
    <w:link w:val="Corpsdetexte2Car"/>
    <w:semiHidden/>
    <w:rsid w:val="00B3725C"/>
    <w:pPr>
      <w:spacing w:after="120" w:line="360" w:lineRule="auto"/>
      <w:ind w:firstLine="709"/>
      <w:jc w:val="both"/>
    </w:pPr>
    <w:rPr>
      <w:rFonts w:ascii="Arial" w:eastAsia="Times New Roman" w:hAnsi="Arial" w:cs="Arial"/>
      <w:szCs w:val="24"/>
      <w:u w:val="single"/>
      <w:lang w:bidi="en-US"/>
    </w:rPr>
  </w:style>
  <w:style w:type="character" w:customStyle="1" w:styleId="Corpsdetexte2Car">
    <w:name w:val="Corps de texte 2 Car"/>
    <w:basedOn w:val="Policepardfaut"/>
    <w:link w:val="Corpsdetexte2"/>
    <w:semiHidden/>
    <w:rsid w:val="00B3725C"/>
    <w:rPr>
      <w:rFonts w:ascii="Arial" w:eastAsia="Times New Roman" w:hAnsi="Arial" w:cs="Arial"/>
      <w:sz w:val="24"/>
      <w:szCs w:val="24"/>
      <w:u w:val="single"/>
      <w:lang w:eastAsia="fr-FR" w:bidi="en-US"/>
    </w:rPr>
  </w:style>
  <w:style w:type="table" w:customStyle="1" w:styleId="Grilledutableau1">
    <w:name w:val="Grille du tableau1"/>
    <w:basedOn w:val="TableauNormal"/>
    <w:uiPriority w:val="59"/>
    <w:rsid w:val="00B3725C"/>
    <w:pPr>
      <w:spacing w:after="0" w:line="240" w:lineRule="auto"/>
    </w:pPr>
    <w:rPr>
      <w:rFonts w:asciiTheme="majorHAnsi" w:eastAsiaTheme="majorEastAsia" w:hAnsiTheme="majorHAnsi" w:cstheme="majorBidi"/>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dutableau">
    <w:name w:val="Table Grid"/>
    <w:basedOn w:val="TableauNormal"/>
    <w:uiPriority w:val="59"/>
    <w:rsid w:val="00B37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1944</Words>
  <Characters>10696</Characters>
  <Application>Microsoft Office Word</Application>
  <DocSecurity>0</DocSecurity>
  <Lines>89</Lines>
  <Paragraphs>25</Paragraphs>
  <ScaleCrop>false</ScaleCrop>
  <Company>CIRAD</Company>
  <LinksUpToDate>false</LinksUpToDate>
  <CharactersWithSpaces>12615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GOURLET</dc:creator>
  <cp:lastModifiedBy>GOURLET</cp:lastModifiedBy>
  <cp:revision>3</cp:revision>
  <dcterms:created xsi:type="dcterms:W3CDTF">2018-01-12T09:36:00Z</dcterms:created>
  <dcterms:modified xsi:type="dcterms:W3CDTF">2018-01-12T09:46:00Z</dcterms:modified>
</cp:coreProperties>
</file>