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3864"/>
          <w:sz w:val="40"/>
          <w:szCs w:val="40"/>
        </w:rPr>
        <w:t xml:space="preserve">Mesure du déplacement vertical de la tourbière flottante de Rzecin</w:t>
      </w:r>
    </w:p>
    <w:p>
      <w:pPr>
        <w:spacing w:after="400"/>
        <w:jc w:val="center"/>
      </w:pPr>
      <w:r>
        <w:rPr>
          <w:color w:val="2E7D6B"/>
          <w:sz w:val="26"/>
          <w:szCs w:val="26"/>
        </w:rPr>
        <w:t xml:space="preserve">par télédétection multi-capteurs : essais, échecs instructifs, analyse first-principles et réorientation stratégique</w:t>
      </w:r>
    </w:p>
    <w:p>
      <w:pPr>
        <w:spacing w:after="100"/>
        <w:jc w:val="center"/>
      </w:pPr>
      <w:r>
        <w:rPr>
          <w:i/>
          <w:iCs/>
          <w:color w:val="666666"/>
          <w:sz w:val="22"/>
          <w:szCs w:val="22"/>
        </w:rPr>
        <w:t xml:space="preserve">Rapport général de projet — synthèse complète</w:t>
      </w:r>
    </w:p>
    <w:p>
      <w:pPr>
        <w:spacing w:after="100"/>
        <w:jc w:val="center"/>
      </w:pPr>
      <w:r>
        <w:rPr>
          <w:color w:val="666666"/>
          <w:sz w:val="20"/>
          <w:szCs w:val="20"/>
        </w:rPr>
        <w:t xml:space="preserve">Site : Rzecin peatland, Pologne (52.76°N, 16.31°E) — ~89.7 ha</w:t>
      </w:r>
    </w:p>
    <w:p>
      <w:pPr>
        <w:spacing w:after="1000"/>
        <w:jc w:val="center"/>
      </w:pPr>
      <w:r>
        <w:rPr>
          <w:color w:val="666666"/>
          <w:sz w:val="18"/>
          <w:szCs w:val="18"/>
        </w:rPr>
        <w:t xml:space="preserve">Dépôt : AimenSayoud/SAr-adapted · branche claude/insar-wetlands-pipeline-mqd0qv</w:t>
      </w:r>
    </w:p>
    <w:p>
      <w:r>
        <w:br w:type="page"/>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0. Résumé exécutif</w:t>
      </w:r>
    </w:p>
    <w:p>
      <w:pPr>
        <w:spacing w:after="120"/>
      </w:pPr>
      <w:r>
        <w:t xml:space="preserve">Ce rapport synthétise l'ensemble d'un projet visant à mesurer le déplacement vertical (subsidence/gonflement) de la tourbière de Rzecin par télédétection, en s'inspirant initialement de la méthodologie de Ghezelayagh et al. (2024, Ecological Indicators, vallée de la Biebrza). Il documente de façon exhaustive et honnête un ensemble d'approches testées, leurs résultats chiffrés, les causes précises des échecs, puis une analyse depuis les premiers principes qui débouche sur une réorientation stratégique de fond.</w:t>
      </w:r>
    </w:p>
    <w:p>
      <w:pPr>
        <w:pBdr>
          <w:left w:val="single" w:color="9A6700" w:sz="18" w:space="10"/>
        </w:pBdr>
        <w:spacing w:after="200" w:before="120"/>
      </w:pPr>
      <w:r>
        <w:rPr>
          <w:b/>
          <w:bCs/>
        </w:rPr>
        <w:t xml:space="preserve">Conclusion centrale (révisée après confrontation à la littérature, §8) : </w:t>
      </w:r>
      <w:r>
        <w:t xml:space="preserve">nous n'avons pas extrait de champ de déplacement vertical net fiable à Rzecin avec Sentinel-1 (bande C, VV, cycle 12 j, réseau ≤48 j, MintPy). </w:t>
      </w:r>
      <w:r>
        <w:rPr>
          <w:b/>
          <w:bCs/>
        </w:rPr>
        <w:t xml:space="preserve">Nous ne pouvons PAS attribuer cet échec à une impossibilité physique de la bande C</w:t>
      </w:r>
      <w:r>
        <w:t xml:space="preserve"> : des équipes mesurent la respiration de tourbières en C-band avec une précision de quelques mm (Hrysiewicz et al. 2024, RSE). Deux causes restent NON séparées — le régime hydrologique inondé du fen, et nos choix de méthode (réseau court uniquement, VV, petite AOI). La stratégie robuste demeure : le vertical net vient des capteurs géodésiques (drone, laser) ; Sentinel-1/2 comme </w:t>
      </w:r>
      <w:r>
        <w:rPr>
          <w:b/>
          <w:bCs/>
        </w:rPr>
        <w:t xml:space="preserve">covariable hydrologique</w:t>
      </w:r>
      <w:r>
        <w:t xml:space="preserve"> — conclusion, elle, fortement étayée.</w:t>
      </w:r>
    </w:p>
    <w:p>
      <w:pPr>
        <w:spacing w:after="120"/>
      </w:pPr>
      <w:r>
        <w:t xml:space="preserve">Résultats quantitatifs clés obtenus au fil du projet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28"/>
        <w:gridCol w:w="4048"/>
        <w:gridCol w:w="2024"/>
      </w:tblGrid>
      <w:tr>
        <w:trPr>
          <w:tblHeader/>
        </w:trPr>
        <w:tc>
          <w:tcPr>
            <w:tcW w:type="dxa" w:w="3128"/>
            <w:shd w:fill="1F3864" w:val="clear"/>
            <w:tcMar>
              <w:top w:type="dxa" w:w="50"/>
              <w:left w:type="dxa" w:w="90"/>
              <w:bottom w:type="dxa" w:w="50"/>
              <w:right w:type="dxa" w:w="90"/>
            </w:tcMar>
          </w:tcPr>
          <w:p>
            <w:r>
              <w:rPr>
                <w:b/>
                <w:bCs/>
                <w:color w:val="FFFFFF"/>
                <w:sz w:val="18"/>
                <w:szCs w:val="18"/>
              </w:rPr>
              <w:t xml:space="preserve">Approche</w:t>
            </w:r>
          </w:p>
        </w:tc>
        <w:tc>
          <w:tcPr>
            <w:tcW w:type="dxa" w:w="4048"/>
            <w:shd w:fill="1F3864" w:val="clear"/>
            <w:tcMar>
              <w:top w:type="dxa" w:w="50"/>
              <w:left w:type="dxa" w:w="90"/>
              <w:bottom w:type="dxa" w:w="50"/>
              <w:right w:type="dxa" w:w="90"/>
            </w:tcMar>
          </w:tcPr>
          <w:p>
            <w:r>
              <w:rPr>
                <w:b/>
                <w:bCs/>
                <w:color w:val="FFFFFF"/>
                <w:sz w:val="18"/>
                <w:szCs w:val="18"/>
              </w:rPr>
              <w:t xml:space="preserve">Résultat obtenu</w:t>
            </w:r>
          </w:p>
        </w:tc>
        <w:tc>
          <w:tcPr>
            <w:tcW w:type="dxa" w:w="2024"/>
            <w:shd w:fill="1F3864" w:val="clear"/>
            <w:tcMar>
              <w:top w:type="dxa" w:w="50"/>
              <w:left w:type="dxa" w:w="90"/>
              <w:bottom w:type="dxa" w:w="50"/>
              <w:right w:type="dxa" w:w="90"/>
            </w:tcMar>
          </w:tcPr>
          <w:p>
            <w:r>
              <w:rPr>
                <w:b/>
                <w:bCs/>
                <w:color w:val="FFFFFF"/>
                <w:sz w:val="18"/>
                <w:szCs w:val="18"/>
              </w:rPr>
              <w:t xml:space="preserve">Statut</w:t>
            </w:r>
          </w:p>
        </w:tc>
      </w:tr>
      <w:tr>
        <w:trPr>
          <w:tblHeader w:val="false"/>
        </w:trPr>
        <w:tc>
          <w:tcPr>
            <w:tcW w:type="dxa" w:w="3128"/>
            <w:tcMar>
              <w:top w:type="dxa" w:w="50"/>
              <w:left w:type="dxa" w:w="90"/>
              <w:bottom w:type="dxa" w:w="50"/>
              <w:right w:type="dxa" w:w="90"/>
            </w:tcMar>
          </w:tcPr>
          <w:p>
            <w:r>
              <w:rPr>
                <w:b w:val="false"/>
                <w:bCs w:val="false"/>
                <w:color w:val="000000"/>
                <w:sz w:val="18"/>
                <w:szCs w:val="18"/>
              </w:rPr>
              <w:t xml:space="preserve">SBAS dense / MintPy</w:t>
            </w:r>
          </w:p>
        </w:tc>
        <w:tc>
          <w:tcPr>
            <w:tcW w:type="dxa" w:w="4048"/>
            <w:tcMar>
              <w:top w:type="dxa" w:w="50"/>
              <w:left w:type="dxa" w:w="90"/>
              <w:bottom w:type="dxa" w:w="50"/>
              <w:right w:type="dxa" w:w="90"/>
            </w:tcMar>
          </w:tcPr>
          <w:p>
            <w:r>
              <w:rPr>
                <w:b w:val="false"/>
                <w:bCs w:val="false"/>
                <w:color w:val="000000"/>
                <w:sz w:val="18"/>
                <w:szCs w:val="18"/>
              </w:rPr>
              <w:t xml:space="preserve">182 pixels résolus (hors tourbière), 8 blocages successifs</w:t>
            </w:r>
          </w:p>
        </w:tc>
        <w:tc>
          <w:tcPr>
            <w:tcW w:type="dxa" w:w="2024"/>
            <w:tcMar>
              <w:top w:type="dxa" w:w="50"/>
              <w:left w:type="dxa" w:w="90"/>
              <w:bottom w:type="dxa" w:w="50"/>
              <w:right w:type="dxa" w:w="90"/>
            </w:tcMar>
          </w:tcPr>
          <w:p>
            <w:r>
              <w:rPr>
                <w:b w:val="false"/>
                <w:bCs w:val="false"/>
                <w:color w:val="000000"/>
                <w:sz w:val="18"/>
                <w:szCs w:val="18"/>
              </w:rPr>
              <w:t xml:space="preserve">Échec instructif</w:t>
            </w:r>
          </w:p>
        </w:tc>
      </w:tr>
      <w:tr>
        <w:trPr>
          <w:tblHeader w:val="false"/>
        </w:trPr>
        <w:tc>
          <w:tcPr>
            <w:tcW w:type="dxa" w:w="3128"/>
            <w:shd w:fill="F0F0F0" w:val="clear"/>
            <w:tcMar>
              <w:top w:type="dxa" w:w="50"/>
              <w:left w:type="dxa" w:w="90"/>
              <w:bottom w:type="dxa" w:w="50"/>
              <w:right w:type="dxa" w:w="90"/>
            </w:tcMar>
          </w:tcPr>
          <w:p>
            <w:r>
              <w:rPr>
                <w:b w:val="false"/>
                <w:bCs w:val="false"/>
                <w:color w:val="000000"/>
                <w:sz w:val="18"/>
                <w:szCs w:val="18"/>
              </w:rPr>
              <w:t xml:space="preserve">ISBAS (custom, pixels intermittents)</w:t>
            </w:r>
          </w:p>
        </w:tc>
        <w:tc>
          <w:tcPr>
            <w:tcW w:type="dxa" w:w="4048"/>
            <w:shd w:fill="F0F0F0" w:val="clear"/>
            <w:tcMar>
              <w:top w:type="dxa" w:w="50"/>
              <w:left w:type="dxa" w:w="90"/>
              <w:bottom w:type="dxa" w:w="50"/>
              <w:right w:type="dxa" w:w="90"/>
            </w:tcMar>
          </w:tcPr>
          <w:p>
            <w:r>
              <w:rPr>
                <w:b w:val="false"/>
                <w:bCs w:val="false"/>
                <w:color w:val="000000"/>
                <w:sz w:val="18"/>
                <w:szCs w:val="18"/>
              </w:rPr>
              <w:t xml:space="preserve">Gain de couverture réel mais insuffisant pour une carte</w:t>
            </w:r>
          </w:p>
        </w:tc>
        <w:tc>
          <w:tcPr>
            <w:tcW w:type="dxa" w:w="2024"/>
            <w:shd w:fill="F0F0F0" w:val="clear"/>
            <w:tcMar>
              <w:top w:type="dxa" w:w="50"/>
              <w:left w:type="dxa" w:w="90"/>
              <w:bottom w:type="dxa" w:w="50"/>
              <w:right w:type="dxa" w:w="90"/>
            </w:tcMar>
          </w:tcPr>
          <w:p>
            <w:r>
              <w:rPr>
                <w:b w:val="false"/>
                <w:bCs w:val="false"/>
                <w:color w:val="000000"/>
                <w:sz w:val="18"/>
                <w:szCs w:val="18"/>
              </w:rPr>
              <w:t xml:space="preserve">Partiel</w:t>
            </w:r>
          </w:p>
        </w:tc>
      </w:tr>
      <w:tr>
        <w:trPr>
          <w:tblHeader w:val="false"/>
        </w:trPr>
        <w:tc>
          <w:tcPr>
            <w:tcW w:type="dxa" w:w="3128"/>
            <w:tcMar>
              <w:top w:type="dxa" w:w="50"/>
              <w:left w:type="dxa" w:w="90"/>
              <w:bottom w:type="dxa" w:w="50"/>
              <w:right w:type="dxa" w:w="90"/>
            </w:tcMar>
          </w:tcPr>
          <w:p>
            <w:r>
              <w:rPr>
                <w:b w:val="false"/>
                <w:bCs w:val="false"/>
                <w:color w:val="000000"/>
                <w:sz w:val="18"/>
                <w:szCs w:val="18"/>
              </w:rPr>
              <w:t xml:space="preserve">Pipeline B — paires saisonnières-annuelles + ERA5</w:t>
            </w:r>
          </w:p>
        </w:tc>
        <w:tc>
          <w:tcPr>
            <w:tcW w:type="dxa" w:w="4048"/>
            <w:tcMar>
              <w:top w:type="dxa" w:w="50"/>
              <w:left w:type="dxa" w:w="90"/>
              <w:bottom w:type="dxa" w:w="50"/>
              <w:right w:type="dxa" w:w="90"/>
            </w:tcMar>
          </w:tcPr>
          <w:p>
            <w:r>
              <w:rPr>
                <w:b w:val="false"/>
                <w:bCs w:val="false"/>
                <w:color w:val="000000"/>
                <w:sz w:val="18"/>
                <w:szCs w:val="18"/>
              </w:rPr>
              <w:t xml:space="preserve">AOI médiane −4.5 mm/an, IQR ±18.9 mm/an</w:t>
            </w:r>
          </w:p>
        </w:tc>
        <w:tc>
          <w:tcPr>
            <w:tcW w:type="dxa" w:w="2024"/>
            <w:tcMar>
              <w:top w:type="dxa" w:w="50"/>
              <w:left w:type="dxa" w:w="90"/>
              <w:bottom w:type="dxa" w:w="50"/>
              <w:right w:type="dxa" w:w="90"/>
            </w:tcMar>
          </w:tcPr>
          <w:p>
            <w:r>
              <w:rPr>
                <w:b w:val="false"/>
                <w:bCs w:val="false"/>
                <w:color w:val="000000"/>
                <w:sz w:val="18"/>
                <w:szCs w:val="18"/>
              </w:rPr>
              <w:t xml:space="preserve">Non-détection (SNR)</w:t>
            </w:r>
          </w:p>
        </w:tc>
      </w:tr>
      <w:tr>
        <w:trPr>
          <w:tblHeader w:val="false"/>
        </w:trPr>
        <w:tc>
          <w:tcPr>
            <w:tcW w:type="dxa" w:w="3128"/>
            <w:shd w:fill="F0F0F0" w:val="clear"/>
            <w:tcMar>
              <w:top w:type="dxa" w:w="50"/>
              <w:left w:type="dxa" w:w="90"/>
              <w:bottom w:type="dxa" w:w="50"/>
              <w:right w:type="dxa" w:w="90"/>
            </w:tcMar>
          </w:tcPr>
          <w:p>
            <w:r>
              <w:rPr>
                <w:b w:val="false"/>
                <w:bCs w:val="false"/>
                <w:color w:val="000000"/>
                <w:sz w:val="18"/>
                <w:szCs w:val="18"/>
              </w:rPr>
              <w:t xml:space="preserve">→ Statut du résultat</w:t>
            </w:r>
          </w:p>
        </w:tc>
        <w:tc>
          <w:tcPr>
            <w:tcW w:type="dxa" w:w="4048"/>
            <w:shd w:fill="F0F0F0" w:val="clear"/>
            <w:tcMar>
              <w:top w:type="dxa" w:w="50"/>
              <w:left w:type="dxa" w:w="90"/>
              <w:bottom w:type="dxa" w:w="50"/>
              <w:right w:type="dxa" w:w="90"/>
            </w:tcMar>
          </w:tcPr>
          <w:p>
            <w:r>
              <w:rPr>
                <w:b w:val="false"/>
                <w:bCs w:val="false"/>
                <w:color w:val="000000"/>
                <w:sz w:val="18"/>
                <w:szCs w:val="18"/>
              </w:rPr>
              <w:t xml:space="preserve">Indistinguable de 0 ET de −14 mm/an ; à confirmer (§8.5)</w:t>
            </w:r>
          </w:p>
        </w:tc>
        <w:tc>
          <w:tcPr>
            <w:tcW w:type="dxa" w:w="2024"/>
            <w:shd w:fill="F0F0F0" w:val="clear"/>
            <w:tcMar>
              <w:top w:type="dxa" w:w="50"/>
              <w:left w:type="dxa" w:w="90"/>
              <w:bottom w:type="dxa" w:w="50"/>
              <w:right w:type="dxa" w:w="90"/>
            </w:tcMar>
          </w:tcPr>
          <w:p>
            <w:r>
              <w:rPr>
                <w:b w:val="false"/>
                <w:bCs w:val="false"/>
                <w:color w:val="000000"/>
                <w:sz w:val="18"/>
                <w:szCs w:val="18"/>
              </w:rPr>
              <w:t xml:space="preserve">À valider</w:t>
            </w:r>
          </w:p>
        </w:tc>
      </w:tr>
    </w:tbl>
    <w:p>
      <w:pPr>
        <w:spacing w:after="120"/>
      </w:pPr>
      <w:r>
        <w:rPr>
          <w:sz w:val="20"/>
          <w:szCs w:val="20"/>
        </w:rPr>
        <w:t xml:space="preserve">Le taux net du Pipeline B (−4.5 ± 18.9 mm/an) est une NON-DÉTECTION : l'incertitude écrase le signal, on ne peut le distinguer ni de zéro ni de la valeur de Biebrza (−14 mm/an). L'hypothèse d'un fen préservé à respiration hydrologique réversible dominante reste l'interprétation la plus plausible, mais elle n'est pas démontrée par l'InSAR seul et devra être confirmée par le laser et le drone (§8.6).</w:t>
      </w:r>
    </w:p>
    <w:p>
      <w:r>
        <w:br w:type="page"/>
      </w:r>
    </w:p>
    <w:p>
      <w:pPr>
        <w:pStyle w:val="Heading1"/>
        <w:spacing w:after="200" w:before="400"/>
      </w:pPr>
      <w:r>
        <w:t xml:space="preserve">1. Contexte, objectif, et pourquoi Rzecin n'est pas Biebrza</w:t>
      </w:r>
    </w:p>
    <w:p>
      <w:pPr>
        <w:pStyle w:val="Heading2"/>
        <w:spacing w:after="150" w:before="300"/>
      </w:pPr>
      <w:r>
        <w:t xml:space="preserve">1.1 Objectif scientifique</w:t>
      </w:r>
    </w:p>
    <w:p>
      <w:pPr>
        <w:spacing w:after="120"/>
      </w:pPr>
      <w:r>
        <w:t xml:space="preserve">Quantifier le déplacement vertical du sol tourbeux de Rzecin sur 2022–2024, comme indicateur intégrateur de l'état de la tourbière (accumulation vs dégradation), avec l'ambition de relier ce déplacement à la dynamique hydrologique et, à terme, aux flux de carbone.</w:t>
      </w:r>
    </w:p>
    <w:p>
      <w:pPr>
        <w:pStyle w:val="Heading2"/>
        <w:spacing w:after="150" w:before="300"/>
      </w:pPr>
      <w:r>
        <w:t xml:space="preserve">1.2 La spécificité déterminante du site</w:t>
      </w:r>
    </w:p>
    <w:p>
      <w:pPr>
        <w:spacing w:after="120"/>
      </w:pPr>
      <w:r>
        <w:t xml:space="preserve">La méthodologie de référence (Biebrza) a été conçue pour un fen DRAINÉ, vaste (96 610 ha), dont la subsidence est forte (1–3 cm/an), monotone et irréversible (oxydation + retrait de la tourbe, perte de carbone). Rzecin est fondamentalement différent :</w:t>
      </w:r>
    </w:p>
    <w:p>
      <w:pPr>
        <w:pStyle w:val="ListParagraph"/>
        <w:numPr>
          <w:ilvl w:val="0"/>
          <w:numId w:val="1"/>
        </w:numPr>
        <w:spacing w:after="60"/>
      </w:pPr>
      <w:r>
        <w:t xml:space="preserve">Fen transitionnel / pauvre, quasi naturel, de petite taille (~89.7 ha) ;</w:t>
      </w:r>
    </w:p>
    <w:p>
      <w:pPr>
        <w:pStyle w:val="ListParagraph"/>
        <w:numPr>
          <w:ilvl w:val="0"/>
          <w:numId w:val="1"/>
        </w:numPr>
        <w:spacing w:after="60"/>
      </w:pPr>
      <w:r>
        <w:t xml:space="preserve">Présence d'un lac résiduel au centre et de plans d'eau libre ;</w:t>
      </w:r>
    </w:p>
    <w:p>
      <w:pPr>
        <w:pStyle w:val="ListParagraph"/>
        <w:numPr>
          <w:ilvl w:val="0"/>
          <w:numId w:val="1"/>
        </w:numPr>
        <w:spacing w:after="60"/>
      </w:pPr>
      <w:r>
        <w:t xml:space="preserve">Nappe phréatique affleurante à émergente : par endroits, l'eau recouvre la végétation ;</w:t>
      </w:r>
    </w:p>
    <w:p>
      <w:pPr>
        <w:pStyle w:val="ListParagraph"/>
        <w:numPr>
          <w:ilvl w:val="0"/>
          <w:numId w:val="1"/>
        </w:numPr>
        <w:spacing w:after="60"/>
      </w:pPr>
      <w:r>
        <w:t xml:space="preserve">Tapis de végétation flottant (Schwingmoor / quaking bog) : la surface flotte et suit la nappe par poussée d'Archimède.</w:t>
      </w:r>
    </w:p>
    <w:p>
      <w:pPr>
        <w:pBdr>
          <w:left w:val="single" w:color="2E7D6B" w:sz="18" w:space="10"/>
        </w:pBdr>
        <w:spacing w:after="200" w:before="120"/>
      </w:pPr>
      <w:r>
        <w:rPr>
          <w:b/>
          <w:bCs/>
        </w:rPr>
        <w:t xml:space="preserve">Conséquence prédictive posée dès le départ : </w:t>
      </w:r>
      <w:r>
        <w:t xml:space="preserve">le mouvement vertical de surface à Rzecin est majoritairement </w:t>
      </w:r>
      <w:r>
        <w:rPr>
          <w:b/>
          <w:bCs/>
        </w:rPr>
        <w:t xml:space="preserve">réversible</w:t>
      </w:r>
      <w:r>
        <w:t xml:space="preserve"> (respiration au rythme de la nappe), pas un tassement net cumulé. Le taux annuel net attendu est donc proche de zéro — ce que confirmeront les mesures.</w:t>
      </w:r>
    </w:p>
    <w:p>
      <w:pPr>
        <w:pStyle w:val="Heading1"/>
        <w:spacing w:after="200" w:before="400"/>
      </w:pPr>
      <w:r>
        <w:t xml:space="preserve">2. Infrastructure, données et organisation du projet</w:t>
      </w:r>
    </w:p>
    <w:p>
      <w:pPr>
        <w:spacing w:after="120"/>
      </w:pPr>
      <w:r>
        <w:t xml:space="preserve">Le projet a été structuré en un pipeline reproductible : un package Python testé (src/insar_wetlands), des notebooks Colab « fins » orchestrés par git (Colab tire le code, exécute, pousse les sorties), une configuration centralisée (config.yaml), et des secrets stockés en Colab userdata. Chaque phase produit une branche outputs/phaseXX.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12"/>
        <w:gridCol w:w="2576"/>
        <w:gridCol w:w="3312"/>
      </w:tblGrid>
      <w:tr>
        <w:trPr>
          <w:tblHeader/>
        </w:trPr>
        <w:tc>
          <w:tcPr>
            <w:tcW w:type="dxa" w:w="3312"/>
            <w:shd w:fill="2E7D6B" w:val="clear"/>
            <w:tcMar>
              <w:top w:type="dxa" w:w="50"/>
              <w:left w:type="dxa" w:w="90"/>
              <w:bottom w:type="dxa" w:w="50"/>
              <w:right w:type="dxa" w:w="90"/>
            </w:tcMar>
          </w:tcPr>
          <w:p>
            <w:r>
              <w:rPr>
                <w:b/>
                <w:bCs/>
                <w:color w:val="FFFFFF"/>
                <w:sz w:val="18"/>
                <w:szCs w:val="18"/>
              </w:rPr>
              <w:t xml:space="preserve">Source</w:t>
            </w:r>
          </w:p>
        </w:tc>
        <w:tc>
          <w:tcPr>
            <w:tcW w:type="dxa" w:w="2576"/>
            <w:shd w:fill="2E7D6B" w:val="clear"/>
            <w:tcMar>
              <w:top w:type="dxa" w:w="50"/>
              <w:left w:type="dxa" w:w="90"/>
              <w:bottom w:type="dxa" w:w="50"/>
              <w:right w:type="dxa" w:w="90"/>
            </w:tcMar>
          </w:tcPr>
          <w:p>
            <w:r>
              <w:rPr>
                <w:b/>
                <w:bCs/>
                <w:color w:val="FFFFFF"/>
                <w:sz w:val="18"/>
                <w:szCs w:val="18"/>
              </w:rPr>
              <w:t xml:space="preserve">Période / détail</w:t>
            </w:r>
          </w:p>
        </w:tc>
        <w:tc>
          <w:tcPr>
            <w:tcW w:type="dxa" w:w="3312"/>
            <w:shd w:fill="2E7D6B" w:val="clear"/>
            <w:tcMar>
              <w:top w:type="dxa" w:w="50"/>
              <w:left w:type="dxa" w:w="90"/>
              <w:bottom w:type="dxa" w:w="50"/>
              <w:right w:type="dxa" w:w="90"/>
            </w:tcMar>
          </w:tcPr>
          <w:p>
            <w:r>
              <w:rPr>
                <w:b/>
                <w:bCs/>
                <w:color w:val="FFFFFF"/>
                <w:sz w:val="18"/>
                <w:szCs w:val="18"/>
              </w:rPr>
              <w:t xml:space="preserve">Rôle dans le projet</w:t>
            </w:r>
          </w:p>
        </w:tc>
      </w:tr>
      <w:tr>
        <w:trPr>
          <w:tblHeader w:val="false"/>
        </w:trPr>
        <w:tc>
          <w:tcPr>
            <w:tcW w:type="dxa" w:w="3312"/>
            <w:tcMar>
              <w:top w:type="dxa" w:w="50"/>
              <w:left w:type="dxa" w:w="90"/>
              <w:bottom w:type="dxa" w:w="50"/>
              <w:right w:type="dxa" w:w="90"/>
            </w:tcMar>
          </w:tcPr>
          <w:p>
            <w:r>
              <w:rPr>
                <w:b w:val="false"/>
                <w:bCs w:val="false"/>
                <w:color w:val="000000"/>
                <w:sz w:val="18"/>
                <w:szCs w:val="18"/>
              </w:rPr>
              <w:t xml:space="preserve">Sentinel-1 A (asc., orbite 175, burst 175_374052_IW1, VV)</w:t>
            </w:r>
          </w:p>
        </w:tc>
        <w:tc>
          <w:tcPr>
            <w:tcW w:type="dxa" w:w="2576"/>
            <w:tcMar>
              <w:top w:type="dxa" w:w="50"/>
              <w:left w:type="dxa" w:w="90"/>
              <w:bottom w:type="dxa" w:w="50"/>
              <w:right w:type="dxa" w:w="90"/>
            </w:tcMar>
          </w:tcPr>
          <w:p>
            <w:r>
              <w:rPr>
                <w:b w:val="false"/>
                <w:bCs w:val="false"/>
                <w:color w:val="000000"/>
                <w:sz w:val="18"/>
                <w:szCs w:val="18"/>
              </w:rPr>
              <w:t xml:space="preserve">2022–2024, 91 dates, cycle 12 j</w:t>
            </w:r>
          </w:p>
        </w:tc>
        <w:tc>
          <w:tcPr>
            <w:tcW w:type="dxa" w:w="3312"/>
            <w:tcMar>
              <w:top w:type="dxa" w:w="50"/>
              <w:left w:type="dxa" w:w="90"/>
              <w:bottom w:type="dxa" w:w="50"/>
              <w:right w:type="dxa" w:w="90"/>
            </w:tcMar>
          </w:tcPr>
          <w:p>
            <w:r>
              <w:rPr>
                <w:b w:val="false"/>
                <w:bCs w:val="false"/>
                <w:color w:val="000000"/>
                <w:sz w:val="18"/>
                <w:szCs w:val="18"/>
              </w:rPr>
              <w:t xml:space="preserve">InSAR (phase, cohérence, backscatter)</w:t>
            </w:r>
          </w:p>
        </w:tc>
      </w:tr>
      <w:tr>
        <w:trPr>
          <w:tblHeader w:val="false"/>
        </w:trPr>
        <w:tc>
          <w:tcPr>
            <w:tcW w:type="dxa" w:w="3312"/>
            <w:shd w:fill="F0F0F0" w:val="clear"/>
            <w:tcMar>
              <w:top w:type="dxa" w:w="50"/>
              <w:left w:type="dxa" w:w="90"/>
              <w:bottom w:type="dxa" w:w="50"/>
              <w:right w:type="dxa" w:w="90"/>
            </w:tcMar>
          </w:tcPr>
          <w:p>
            <w:r>
              <w:rPr>
                <w:b w:val="false"/>
                <w:bCs w:val="false"/>
                <w:color w:val="000000"/>
                <w:sz w:val="18"/>
                <w:szCs w:val="18"/>
              </w:rPr>
              <w:t xml:space="preserve">HyP3 INSAR_ISCE_BURST, looks 10×2 (~80 m)</w:t>
            </w:r>
          </w:p>
        </w:tc>
        <w:tc>
          <w:tcPr>
            <w:tcW w:type="dxa" w:w="2576"/>
            <w:shd w:fill="F0F0F0" w:val="clear"/>
            <w:tcMar>
              <w:top w:type="dxa" w:w="50"/>
              <w:left w:type="dxa" w:w="90"/>
              <w:bottom w:type="dxa" w:w="50"/>
              <w:right w:type="dxa" w:w="90"/>
            </w:tcMar>
          </w:tcPr>
          <w:p>
            <w:r>
              <w:rPr>
                <w:b w:val="false"/>
                <w:bCs w:val="false"/>
                <w:color w:val="000000"/>
                <w:sz w:val="18"/>
                <w:szCs w:val="18"/>
              </w:rPr>
              <w:t xml:space="preserve">346 paires ≤48 j + paires annuelles</w:t>
            </w:r>
          </w:p>
        </w:tc>
        <w:tc>
          <w:tcPr>
            <w:tcW w:type="dxa" w:w="3312"/>
            <w:shd w:fill="F0F0F0" w:val="clear"/>
            <w:tcMar>
              <w:top w:type="dxa" w:w="50"/>
              <w:left w:type="dxa" w:w="90"/>
              <w:bottom w:type="dxa" w:w="50"/>
              <w:right w:type="dxa" w:w="90"/>
            </w:tcMar>
          </w:tcPr>
          <w:p>
            <w:r>
              <w:rPr>
                <w:b w:val="false"/>
                <w:bCs w:val="false"/>
                <w:color w:val="000000"/>
                <w:sz w:val="18"/>
                <w:szCs w:val="18"/>
              </w:rPr>
              <w:t xml:space="preserve">Interférogrammes prêts à l'emploi</w:t>
            </w:r>
          </w:p>
        </w:tc>
      </w:tr>
      <w:tr>
        <w:trPr>
          <w:tblHeader w:val="false"/>
        </w:trPr>
        <w:tc>
          <w:tcPr>
            <w:tcW w:type="dxa" w:w="3312"/>
            <w:tcMar>
              <w:top w:type="dxa" w:w="50"/>
              <w:left w:type="dxa" w:w="90"/>
              <w:bottom w:type="dxa" w:w="50"/>
              <w:right w:type="dxa" w:w="90"/>
            </w:tcMar>
          </w:tcPr>
          <w:p>
            <w:r>
              <w:rPr>
                <w:b w:val="false"/>
                <w:bCs w:val="false"/>
                <w:color w:val="000000"/>
                <w:sz w:val="18"/>
                <w:szCs w:val="18"/>
              </w:rPr>
              <w:t xml:space="preserve">Sentinel-2 L2A</w:t>
            </w:r>
          </w:p>
        </w:tc>
        <w:tc>
          <w:tcPr>
            <w:tcW w:type="dxa" w:w="2576"/>
            <w:tcMar>
              <w:top w:type="dxa" w:w="50"/>
              <w:left w:type="dxa" w:w="90"/>
              <w:bottom w:type="dxa" w:w="50"/>
              <w:right w:type="dxa" w:w="90"/>
            </w:tcMar>
          </w:tcPr>
          <w:p>
            <w:r>
              <w:rPr>
                <w:b w:val="false"/>
                <w:bCs w:val="false"/>
                <w:color w:val="000000"/>
                <w:sz w:val="18"/>
                <w:szCs w:val="18"/>
              </w:rPr>
              <w:t xml:space="preserve">2022–2024</w:t>
            </w:r>
          </w:p>
        </w:tc>
        <w:tc>
          <w:tcPr>
            <w:tcW w:type="dxa" w:w="3312"/>
            <w:tcMar>
              <w:top w:type="dxa" w:w="50"/>
              <w:left w:type="dxa" w:w="90"/>
              <w:bottom w:type="dxa" w:w="50"/>
              <w:right w:type="dxa" w:w="90"/>
            </w:tcMar>
          </w:tcPr>
          <w:p>
            <w:r>
              <w:rPr>
                <w:b w:val="false"/>
                <w:bCs w:val="false"/>
                <w:color w:val="000000"/>
                <w:sz w:val="18"/>
                <w:szCs w:val="18"/>
              </w:rPr>
              <w:t xml:space="preserve">Masque eau, NDWI/NDVI, phénologie</w:t>
            </w:r>
          </w:p>
        </w:tc>
      </w:tr>
      <w:tr>
        <w:trPr>
          <w:tblHeader w:val="false"/>
        </w:trPr>
        <w:tc>
          <w:tcPr>
            <w:tcW w:type="dxa" w:w="3312"/>
            <w:shd w:fill="F0F0F0" w:val="clear"/>
            <w:tcMar>
              <w:top w:type="dxa" w:w="50"/>
              <w:left w:type="dxa" w:w="90"/>
              <w:bottom w:type="dxa" w:w="50"/>
              <w:right w:type="dxa" w:w="90"/>
            </w:tcMar>
          </w:tcPr>
          <w:p>
            <w:r>
              <w:rPr>
                <w:b w:val="false"/>
                <w:bCs w:val="false"/>
                <w:color w:val="000000"/>
                <w:sz w:val="18"/>
                <w:szCs w:val="18"/>
              </w:rPr>
              <w:t xml:space="preserve">ERA5 (tcwv, t2m, tp)</w:t>
            </w:r>
          </w:p>
        </w:tc>
        <w:tc>
          <w:tcPr>
            <w:tcW w:type="dxa" w:w="2576"/>
            <w:shd w:fill="F0F0F0" w:val="clear"/>
            <w:tcMar>
              <w:top w:type="dxa" w:w="50"/>
              <w:left w:type="dxa" w:w="90"/>
              <w:bottom w:type="dxa" w:w="50"/>
              <w:right w:type="dxa" w:w="90"/>
            </w:tcMar>
          </w:tcPr>
          <w:p>
            <w:r>
              <w:rPr>
                <w:b w:val="false"/>
                <w:bCs w:val="false"/>
                <w:color w:val="000000"/>
                <w:sz w:val="18"/>
                <w:szCs w:val="18"/>
              </w:rPr>
              <w:t xml:space="preserve">2022–2024</w:t>
            </w:r>
          </w:p>
        </w:tc>
        <w:tc>
          <w:tcPr>
            <w:tcW w:type="dxa" w:w="3312"/>
            <w:shd w:fill="F0F0F0" w:val="clear"/>
            <w:tcMar>
              <w:top w:type="dxa" w:w="50"/>
              <w:left w:type="dxa" w:w="90"/>
              <w:bottom w:type="dxa" w:w="50"/>
              <w:right w:type="dxa" w:w="90"/>
            </w:tcMar>
          </w:tcPr>
          <w:p>
            <w:r>
              <w:rPr>
                <w:b w:val="false"/>
                <w:bCs w:val="false"/>
                <w:color w:val="000000"/>
                <w:sz w:val="18"/>
                <w:szCs w:val="18"/>
              </w:rPr>
              <w:t xml:space="preserve">Score atmosphérique, gel, hydrologie</w:t>
            </w:r>
          </w:p>
        </w:tc>
      </w:tr>
      <w:tr>
        <w:trPr>
          <w:tblHeader w:val="false"/>
        </w:trPr>
        <w:tc>
          <w:tcPr>
            <w:tcW w:type="dxa" w:w="3312"/>
            <w:tcMar>
              <w:top w:type="dxa" w:w="50"/>
              <w:left w:type="dxa" w:w="90"/>
              <w:bottom w:type="dxa" w:w="50"/>
              <w:right w:type="dxa" w:w="90"/>
            </w:tcMar>
          </w:tcPr>
          <w:p>
            <w:r>
              <w:rPr>
                <w:b w:val="false"/>
                <w:bCs w:val="false"/>
                <w:color w:val="000000"/>
                <w:sz w:val="18"/>
                <w:szCs w:val="18"/>
              </w:rPr>
              <w:t xml:space="preserve">UAV DTM/DSM (archives)</w:t>
            </w:r>
          </w:p>
        </w:tc>
        <w:tc>
          <w:tcPr>
            <w:tcW w:type="dxa" w:w="2576"/>
            <w:tcMar>
              <w:top w:type="dxa" w:w="50"/>
              <w:left w:type="dxa" w:w="90"/>
              <w:bottom w:type="dxa" w:w="50"/>
              <w:right w:type="dxa" w:w="90"/>
            </w:tcMar>
          </w:tcPr>
          <w:p>
            <w:r>
              <w:rPr>
                <w:b w:val="false"/>
                <w:bCs w:val="false"/>
                <w:color w:val="000000"/>
                <w:sz w:val="18"/>
                <w:szCs w:val="18"/>
              </w:rPr>
              <w:t xml:space="preserve">vols 2022 et 2024</w:t>
            </w:r>
          </w:p>
        </w:tc>
        <w:tc>
          <w:tcPr>
            <w:tcW w:type="dxa" w:w="3312"/>
            <w:tcMar>
              <w:top w:type="dxa" w:w="50"/>
              <w:left w:type="dxa" w:w="90"/>
              <w:bottom w:type="dxa" w:w="50"/>
              <w:right w:type="dxa" w:w="90"/>
            </w:tcMar>
          </w:tcPr>
          <w:p>
            <w:r>
              <w:rPr>
                <w:b w:val="false"/>
                <w:bCs w:val="false"/>
                <w:color w:val="000000"/>
                <w:sz w:val="18"/>
                <w:szCs w:val="18"/>
              </w:rPr>
              <w:t xml:space="preserve">Changement net d'élévation (DoD)</w:t>
            </w:r>
          </w:p>
        </w:tc>
      </w:tr>
      <w:tr>
        <w:trPr>
          <w:tblHeader w:val="false"/>
        </w:trPr>
        <w:tc>
          <w:tcPr>
            <w:tcW w:type="dxa" w:w="3312"/>
            <w:shd w:fill="F0F0F0" w:val="clear"/>
            <w:tcMar>
              <w:top w:type="dxa" w:w="50"/>
              <w:left w:type="dxa" w:w="90"/>
              <w:bottom w:type="dxa" w:w="50"/>
              <w:right w:type="dxa" w:w="90"/>
            </w:tcMar>
          </w:tcPr>
          <w:p>
            <w:r>
              <w:rPr>
                <w:b w:val="false"/>
                <w:bCs w:val="false"/>
                <w:color w:val="000000"/>
                <w:sz w:val="18"/>
                <w:szCs w:val="18"/>
              </w:rPr>
              <w:t xml:space="preserve">Laser in situ (1 point)</w:t>
            </w:r>
          </w:p>
        </w:tc>
        <w:tc>
          <w:tcPr>
            <w:tcW w:type="dxa" w:w="2576"/>
            <w:shd w:fill="F0F0F0" w:val="clear"/>
            <w:tcMar>
              <w:top w:type="dxa" w:w="50"/>
              <w:left w:type="dxa" w:w="90"/>
              <w:bottom w:type="dxa" w:w="50"/>
              <w:right w:type="dxa" w:w="90"/>
            </w:tcMar>
          </w:tcPr>
          <w:p>
            <w:r>
              <w:rPr>
                <w:b w:val="false"/>
                <w:bCs w:val="false"/>
                <w:color w:val="000000"/>
                <w:sz w:val="18"/>
                <w:szCs w:val="18"/>
              </w:rPr>
              <w:t xml:space="preserve">continu</w:t>
            </w:r>
          </w:p>
        </w:tc>
        <w:tc>
          <w:tcPr>
            <w:tcW w:type="dxa" w:w="3312"/>
            <w:shd w:fill="F0F0F0" w:val="clear"/>
            <w:tcMar>
              <w:top w:type="dxa" w:w="50"/>
              <w:left w:type="dxa" w:w="90"/>
              <w:bottom w:type="dxa" w:w="50"/>
              <w:right w:type="dxa" w:w="90"/>
            </w:tcMar>
          </w:tcPr>
          <w:p>
            <w:r>
              <w:rPr>
                <w:b w:val="false"/>
                <w:bCs w:val="false"/>
                <w:color w:val="000000"/>
                <w:sz w:val="18"/>
                <w:szCs w:val="18"/>
              </w:rPr>
              <w:t xml:space="preserve">Vérité terrain temporelle, respiration</w:t>
            </w:r>
          </w:p>
        </w:tc>
      </w:tr>
    </w:tbl>
    <w:p>
      <w:pPr>
        <w:spacing w:after="120"/>
      </w:pPr>
      <w:r>
        <w:rPr>
          <w:sz w:val="20"/>
          <w:szCs w:val="20"/>
        </w:rPr>
        <w:t xml:space="preserve">Points d'infrastructure notables résolus : install éditable PEP660 non vue par le kernel (sys.path + invalidate_caches) ; téléchargement ERA5 auto-réparant (limites de coût CDS, zip déguisé en netCDF, variable tp silencieusement omise) ; convention de nommage HyP3 des bursts (_conncomp.tif, non _conn_comp.tif) ; alignement de grille xarray (mismatch de précision de coordonnées produisant des intersections vides silencieuses).</w:t>
      </w:r>
    </w:p>
    <w:p>
      <w:pPr>
        <w:pStyle w:val="Heading1"/>
        <w:spacing w:after="200" w:before="400"/>
      </w:pPr>
      <w:r>
        <w:t xml:space="preserve">3. Chronologie des approches testées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96"/>
        <w:gridCol w:w="5060"/>
        <w:gridCol w:w="2944"/>
      </w:tblGrid>
      <w:tr>
        <w:trPr>
          <w:tblHeader/>
        </w:trPr>
        <w:tc>
          <w:tcPr>
            <w:tcW w:type="dxa" w:w="1196"/>
            <w:shd w:fill="1F3864" w:val="clear"/>
            <w:tcMar>
              <w:top w:type="dxa" w:w="50"/>
              <w:left w:type="dxa" w:w="90"/>
              <w:bottom w:type="dxa" w:w="50"/>
              <w:right w:type="dxa" w:w="90"/>
            </w:tcMar>
          </w:tcPr>
          <w:p>
            <w:r>
              <w:rPr>
                <w:b/>
                <w:bCs/>
                <w:color w:val="FFFFFF"/>
                <w:sz w:val="18"/>
                <w:szCs w:val="18"/>
              </w:rPr>
              <w:t xml:space="preserve">Phase</w:t>
            </w:r>
          </w:p>
        </w:tc>
        <w:tc>
          <w:tcPr>
            <w:tcW w:type="dxa" w:w="5060"/>
            <w:shd w:fill="1F3864" w:val="clear"/>
            <w:tcMar>
              <w:top w:type="dxa" w:w="50"/>
              <w:left w:type="dxa" w:w="90"/>
              <w:bottom w:type="dxa" w:w="50"/>
              <w:right w:type="dxa" w:w="90"/>
            </w:tcMar>
          </w:tcPr>
          <w:p>
            <w:r>
              <w:rPr>
                <w:b/>
                <w:bCs/>
                <w:color w:val="FFFFFF"/>
                <w:sz w:val="18"/>
                <w:szCs w:val="18"/>
              </w:rPr>
              <w:t xml:space="preserve">Contenu</w:t>
            </w:r>
          </w:p>
        </w:tc>
        <w:tc>
          <w:tcPr>
            <w:tcW w:type="dxa" w:w="2944"/>
            <w:shd w:fill="1F3864" w:val="clear"/>
            <w:tcMar>
              <w:top w:type="dxa" w:w="50"/>
              <w:left w:type="dxa" w:w="90"/>
              <w:bottom w:type="dxa" w:w="50"/>
              <w:right w:type="dxa" w:w="90"/>
            </w:tcMar>
          </w:tcPr>
          <w:p>
            <w:r>
              <w:rPr>
                <w:b/>
                <w:bCs/>
                <w:color w:val="FFFFFF"/>
                <w:sz w:val="18"/>
                <w:szCs w:val="18"/>
              </w:rPr>
              <w:t xml:space="preserve">Verdict</w:t>
            </w:r>
          </w:p>
        </w:tc>
      </w:tr>
      <w:tr>
        <w:trPr>
          <w:tblHeader w:val="false"/>
        </w:trPr>
        <w:tc>
          <w:tcPr>
            <w:tcW w:type="dxa" w:w="1196"/>
            <w:tcMar>
              <w:top w:type="dxa" w:w="50"/>
              <w:left w:type="dxa" w:w="90"/>
              <w:bottom w:type="dxa" w:w="50"/>
              <w:right w:type="dxa" w:w="90"/>
            </w:tcMar>
          </w:tcPr>
          <w:p>
            <w:r>
              <w:rPr>
                <w:b w:val="false"/>
                <w:bCs w:val="false"/>
                <w:color w:val="000000"/>
                <w:sz w:val="18"/>
                <w:szCs w:val="18"/>
              </w:rPr>
              <w:t xml:space="preserve">1</w:t>
            </w:r>
          </w:p>
        </w:tc>
        <w:tc>
          <w:tcPr>
            <w:tcW w:type="dxa" w:w="5060"/>
            <w:tcMar>
              <w:top w:type="dxa" w:w="50"/>
              <w:left w:type="dxa" w:w="90"/>
              <w:bottom w:type="dxa" w:w="50"/>
              <w:right w:type="dxa" w:w="90"/>
            </w:tcMar>
          </w:tcPr>
          <w:p>
            <w:r>
              <w:rPr>
                <w:b w:val="false"/>
                <w:bCs w:val="false"/>
                <w:color w:val="000000"/>
                <w:sz w:val="18"/>
                <w:szCs w:val="18"/>
              </w:rPr>
              <w:t xml:space="preserve">Acquisition S1/S2/ERA5, choix de trace/burst</w:t>
            </w:r>
          </w:p>
        </w:tc>
        <w:tc>
          <w:tcPr>
            <w:tcW w:type="dxa" w:w="2944"/>
            <w:tcMar>
              <w:top w:type="dxa" w:w="50"/>
              <w:left w:type="dxa" w:w="90"/>
              <w:bottom w:type="dxa" w:w="50"/>
              <w:right w:type="dxa" w:w="90"/>
            </w:tcMar>
          </w:tcPr>
          <w:p>
            <w:r>
              <w:rPr>
                <w:b w:val="false"/>
                <w:bCs w:val="false"/>
                <w:color w:val="000000"/>
                <w:sz w:val="18"/>
                <w:szCs w:val="18"/>
              </w:rPr>
              <w:t xml:space="preserve">OK</w:t>
            </w:r>
          </w:p>
        </w:tc>
      </w:tr>
      <w:tr>
        <w:trPr>
          <w:tblHeader w:val="false"/>
        </w:trPr>
        <w:tc>
          <w:tcPr>
            <w:tcW w:type="dxa" w:w="1196"/>
            <w:shd w:fill="F0F0F0" w:val="clear"/>
            <w:tcMar>
              <w:top w:type="dxa" w:w="50"/>
              <w:left w:type="dxa" w:w="90"/>
              <w:bottom w:type="dxa" w:w="50"/>
              <w:right w:type="dxa" w:w="90"/>
            </w:tcMar>
          </w:tcPr>
          <w:p>
            <w:r>
              <w:rPr>
                <w:b w:val="false"/>
                <w:bCs w:val="false"/>
                <w:color w:val="000000"/>
                <w:sz w:val="18"/>
                <w:szCs w:val="18"/>
              </w:rPr>
              <w:t xml:space="preserve">2–3</w:t>
            </w:r>
          </w:p>
        </w:tc>
        <w:tc>
          <w:tcPr>
            <w:tcW w:type="dxa" w:w="5060"/>
            <w:shd w:fill="F0F0F0" w:val="clear"/>
            <w:tcMar>
              <w:top w:type="dxa" w:w="50"/>
              <w:left w:type="dxa" w:w="90"/>
              <w:bottom w:type="dxa" w:w="50"/>
              <w:right w:type="dxa" w:w="90"/>
            </w:tcMar>
          </w:tcPr>
          <w:p>
            <w:r>
              <w:rPr>
                <w:b w:val="false"/>
                <w:bCs w:val="false"/>
                <w:color w:val="000000"/>
                <w:sz w:val="18"/>
                <w:szCs w:val="18"/>
              </w:rPr>
              <w:t xml:space="preserve">Soumission HyP3, réseau small-baseline, QC réseau</w:t>
            </w:r>
          </w:p>
        </w:tc>
        <w:tc>
          <w:tcPr>
            <w:tcW w:type="dxa" w:w="2944"/>
            <w:shd w:fill="F0F0F0" w:val="clear"/>
            <w:tcMar>
              <w:top w:type="dxa" w:w="50"/>
              <w:left w:type="dxa" w:w="90"/>
              <w:bottom w:type="dxa" w:w="50"/>
              <w:right w:type="dxa" w:w="90"/>
            </w:tcMar>
          </w:tcPr>
          <w:p>
            <w:r>
              <w:rPr>
                <w:b w:val="false"/>
                <w:bCs w:val="false"/>
                <w:color w:val="000000"/>
                <w:sz w:val="18"/>
                <w:szCs w:val="18"/>
              </w:rPr>
              <w:t xml:space="preserve">OK (bug conncomp corrigé)</w:t>
            </w:r>
          </w:p>
        </w:tc>
      </w:tr>
      <w:tr>
        <w:trPr>
          <w:tblHeader w:val="false"/>
        </w:trPr>
        <w:tc>
          <w:tcPr>
            <w:tcW w:type="dxa" w:w="1196"/>
            <w:tcMar>
              <w:top w:type="dxa" w:w="50"/>
              <w:left w:type="dxa" w:w="90"/>
              <w:bottom w:type="dxa" w:w="50"/>
              <w:right w:type="dxa" w:w="90"/>
            </w:tcMar>
          </w:tcPr>
          <w:p>
            <w:r>
              <w:rPr>
                <w:b w:val="false"/>
                <w:bCs w:val="false"/>
                <w:color w:val="000000"/>
                <w:sz w:val="18"/>
                <w:szCs w:val="18"/>
              </w:rPr>
              <w:t xml:space="preserve">4–5</w:t>
            </w:r>
          </w:p>
        </w:tc>
        <w:tc>
          <w:tcPr>
            <w:tcW w:type="dxa" w:w="5060"/>
            <w:tcMar>
              <w:top w:type="dxa" w:w="50"/>
              <w:left w:type="dxa" w:w="90"/>
              <w:bottom w:type="dxa" w:w="50"/>
              <w:right w:type="dxa" w:w="90"/>
            </w:tcMar>
          </w:tcPr>
          <w:p>
            <w:r>
              <w:rPr>
                <w:b w:val="false"/>
                <w:bCs w:val="false"/>
                <w:color w:val="000000"/>
                <w:sz w:val="18"/>
                <w:szCs w:val="18"/>
              </w:rPr>
              <w:t xml:space="preserve">Fusion optique S2, masque d'eau S2+RTC</w:t>
            </w:r>
          </w:p>
        </w:tc>
        <w:tc>
          <w:tcPr>
            <w:tcW w:type="dxa" w:w="2944"/>
            <w:tcMar>
              <w:top w:type="dxa" w:w="50"/>
              <w:left w:type="dxa" w:w="90"/>
              <w:bottom w:type="dxa" w:w="50"/>
              <w:right w:type="dxa" w:w="90"/>
            </w:tcMar>
          </w:tcPr>
          <w:p>
            <w:r>
              <w:rPr>
                <w:b w:val="false"/>
                <w:bCs w:val="false"/>
                <w:color w:val="000000"/>
                <w:sz w:val="18"/>
                <w:szCs w:val="18"/>
              </w:rPr>
              <w:t xml:space="preserve">OK</w:t>
            </w:r>
          </w:p>
        </w:tc>
      </w:tr>
      <w:tr>
        <w:trPr>
          <w:tblHeader w:val="false"/>
        </w:trPr>
        <w:tc>
          <w:tcPr>
            <w:tcW w:type="dxa" w:w="1196"/>
            <w:shd w:fill="F0F0F0" w:val="clear"/>
            <w:tcMar>
              <w:top w:type="dxa" w:w="50"/>
              <w:left w:type="dxa" w:w="90"/>
              <w:bottom w:type="dxa" w:w="50"/>
              <w:right w:type="dxa" w:w="90"/>
            </w:tcMar>
          </w:tcPr>
          <w:p>
            <w:r>
              <w:rPr>
                <w:b w:val="false"/>
                <w:bCs w:val="false"/>
                <w:color w:val="000000"/>
                <w:sz w:val="18"/>
                <w:szCs w:val="18"/>
              </w:rPr>
              <w:t xml:space="preserve">6–7</w:t>
            </w:r>
          </w:p>
        </w:tc>
        <w:tc>
          <w:tcPr>
            <w:tcW w:type="dxa" w:w="5060"/>
            <w:shd w:fill="F0F0F0" w:val="clear"/>
            <w:tcMar>
              <w:top w:type="dxa" w:w="50"/>
              <w:left w:type="dxa" w:w="90"/>
              <w:bottom w:type="dxa" w:w="50"/>
              <w:right w:type="dxa" w:w="90"/>
            </w:tcMar>
          </w:tcPr>
          <w:p>
            <w:r>
              <w:rPr>
                <w:b w:val="false"/>
                <w:bCs w:val="false"/>
                <w:color w:val="000000"/>
                <w:sz w:val="18"/>
                <w:szCs w:val="18"/>
              </w:rPr>
              <w:t xml:space="preserve">Classification comportementale A–E, indice de qualité</w:t>
            </w:r>
          </w:p>
        </w:tc>
        <w:tc>
          <w:tcPr>
            <w:tcW w:type="dxa" w:w="2944"/>
            <w:shd w:fill="F0F0F0" w:val="clear"/>
            <w:tcMar>
              <w:top w:type="dxa" w:w="50"/>
              <w:left w:type="dxa" w:w="90"/>
              <w:bottom w:type="dxa" w:w="50"/>
              <w:right w:type="dxa" w:w="90"/>
            </w:tcMar>
          </w:tcPr>
          <w:p>
            <w:r>
              <w:rPr>
                <w:b w:val="false"/>
                <w:bCs w:val="false"/>
                <w:color w:val="000000"/>
                <w:sz w:val="18"/>
                <w:szCs w:val="18"/>
              </w:rPr>
              <w:t xml:space="preserve">OK</w:t>
            </w:r>
          </w:p>
        </w:tc>
      </w:tr>
      <w:tr>
        <w:trPr>
          <w:tblHeader w:val="false"/>
        </w:trPr>
        <w:tc>
          <w:tcPr>
            <w:tcW w:type="dxa" w:w="1196"/>
            <w:tcMar>
              <w:top w:type="dxa" w:w="50"/>
              <w:left w:type="dxa" w:w="90"/>
              <w:bottom w:type="dxa" w:w="50"/>
              <w:right w:type="dxa" w:w="90"/>
            </w:tcMar>
          </w:tcPr>
          <w:p>
            <w:r>
              <w:rPr>
                <w:b w:val="false"/>
                <w:bCs w:val="false"/>
                <w:color w:val="000000"/>
                <w:sz w:val="18"/>
                <w:szCs w:val="18"/>
              </w:rPr>
              <w:t xml:space="preserve">8</w:t>
            </w:r>
          </w:p>
        </w:tc>
        <w:tc>
          <w:tcPr>
            <w:tcW w:type="dxa" w:w="5060"/>
            <w:tcMar>
              <w:top w:type="dxa" w:w="50"/>
              <w:left w:type="dxa" w:w="90"/>
              <w:bottom w:type="dxa" w:w="50"/>
              <w:right w:type="dxa" w:w="90"/>
            </w:tcMar>
          </w:tcPr>
          <w:p>
            <w:r>
              <w:rPr>
                <w:b w:val="false"/>
                <w:bCs w:val="false"/>
                <w:color w:val="000000"/>
                <w:sz w:val="18"/>
                <w:szCs w:val="18"/>
              </w:rPr>
              <w:t xml:space="preserve">SBAS/MintPy — 8 blocages successifs</w:t>
            </w:r>
          </w:p>
        </w:tc>
        <w:tc>
          <w:tcPr>
            <w:tcW w:type="dxa" w:w="2944"/>
            <w:tcMar>
              <w:top w:type="dxa" w:w="50"/>
              <w:left w:type="dxa" w:w="90"/>
              <w:bottom w:type="dxa" w:w="50"/>
              <w:right w:type="dxa" w:w="90"/>
            </w:tcMar>
          </w:tcPr>
          <w:p>
            <w:r>
              <w:rPr>
                <w:b w:val="false"/>
                <w:bCs w:val="false"/>
                <w:color w:val="000000"/>
                <w:sz w:val="18"/>
                <w:szCs w:val="18"/>
              </w:rPr>
              <w:t xml:space="preserve">Échec (analysé §4)</w:t>
            </w:r>
          </w:p>
        </w:tc>
      </w:tr>
      <w:tr>
        <w:trPr>
          <w:tblHeader w:val="false"/>
        </w:trPr>
        <w:tc>
          <w:tcPr>
            <w:tcW w:type="dxa" w:w="1196"/>
            <w:shd w:fill="F0F0F0" w:val="clear"/>
            <w:tcMar>
              <w:top w:type="dxa" w:w="50"/>
              <w:left w:type="dxa" w:w="90"/>
              <w:bottom w:type="dxa" w:w="50"/>
              <w:right w:type="dxa" w:w="90"/>
            </w:tcMar>
          </w:tcPr>
          <w:p>
            <w:r>
              <w:rPr>
                <w:b w:val="false"/>
                <w:bCs w:val="false"/>
                <w:color w:val="000000"/>
                <w:sz w:val="18"/>
                <w:szCs w:val="18"/>
              </w:rPr>
              <w:t xml:space="preserve">9</w:t>
            </w:r>
          </w:p>
        </w:tc>
        <w:tc>
          <w:tcPr>
            <w:tcW w:type="dxa" w:w="5060"/>
            <w:shd w:fill="F0F0F0" w:val="clear"/>
            <w:tcMar>
              <w:top w:type="dxa" w:w="50"/>
              <w:left w:type="dxa" w:w="90"/>
              <w:bottom w:type="dxa" w:w="50"/>
              <w:right w:type="dxa" w:w="90"/>
            </w:tcMar>
          </w:tcPr>
          <w:p>
            <w:r>
              <w:rPr>
                <w:b w:val="false"/>
                <w:bCs w:val="false"/>
                <w:color w:val="000000"/>
                <w:sz w:val="18"/>
                <w:szCs w:val="18"/>
              </w:rPr>
              <w:t xml:space="preserve">ISBAS custom (pixels intermittents)</w:t>
            </w:r>
          </w:p>
        </w:tc>
        <w:tc>
          <w:tcPr>
            <w:tcW w:type="dxa" w:w="2944"/>
            <w:shd w:fill="F0F0F0" w:val="clear"/>
            <w:tcMar>
              <w:top w:type="dxa" w:w="50"/>
              <w:left w:type="dxa" w:w="90"/>
              <w:bottom w:type="dxa" w:w="50"/>
              <w:right w:type="dxa" w:w="90"/>
            </w:tcMar>
          </w:tcPr>
          <w:p>
            <w:r>
              <w:rPr>
                <w:b w:val="false"/>
                <w:bCs w:val="false"/>
                <w:color w:val="000000"/>
                <w:sz w:val="18"/>
                <w:szCs w:val="18"/>
              </w:rPr>
              <w:t xml:space="preserve">Gain partiel (§5)</w:t>
            </w:r>
          </w:p>
        </w:tc>
      </w:tr>
      <w:tr>
        <w:trPr>
          <w:tblHeader w:val="false"/>
        </w:trPr>
        <w:tc>
          <w:tcPr>
            <w:tcW w:type="dxa" w:w="1196"/>
            <w:tcMar>
              <w:top w:type="dxa" w:w="50"/>
              <w:left w:type="dxa" w:w="90"/>
              <w:bottom w:type="dxa" w:w="50"/>
              <w:right w:type="dxa" w:w="90"/>
            </w:tcMar>
          </w:tcPr>
          <w:p>
            <w:r>
              <w:rPr>
                <w:b w:val="false"/>
                <w:bCs w:val="false"/>
                <w:color w:val="000000"/>
                <w:sz w:val="18"/>
                <w:szCs w:val="18"/>
              </w:rPr>
              <w:t xml:space="preserve">10</w:t>
            </w:r>
          </w:p>
        </w:tc>
        <w:tc>
          <w:tcPr>
            <w:tcW w:type="dxa" w:w="5060"/>
            <w:tcMar>
              <w:top w:type="dxa" w:w="50"/>
              <w:left w:type="dxa" w:w="90"/>
              <w:bottom w:type="dxa" w:w="50"/>
              <w:right w:type="dxa" w:w="90"/>
            </w:tcMar>
          </w:tcPr>
          <w:p>
            <w:r>
              <w:rPr>
                <w:b w:val="false"/>
                <w:bCs w:val="false"/>
                <w:color w:val="000000"/>
                <w:sz w:val="18"/>
                <w:szCs w:val="18"/>
              </w:rPr>
              <w:t xml:space="preserve">Comparaison SBAS vs ISBAS</w:t>
            </w:r>
          </w:p>
        </w:tc>
        <w:tc>
          <w:tcPr>
            <w:tcW w:type="dxa" w:w="2944"/>
            <w:tcMar>
              <w:top w:type="dxa" w:w="50"/>
              <w:left w:type="dxa" w:w="90"/>
              <w:bottom w:type="dxa" w:w="50"/>
              <w:right w:type="dxa" w:w="90"/>
            </w:tcMar>
          </w:tcPr>
          <w:p>
            <w:r>
              <w:rPr>
                <w:b w:val="false"/>
                <w:bCs w:val="false"/>
                <w:color w:val="000000"/>
                <w:sz w:val="18"/>
                <w:szCs w:val="18"/>
              </w:rPr>
              <w:t xml:space="preserve">OK (bug grille corrigé)</w:t>
            </w:r>
          </w:p>
        </w:tc>
      </w:tr>
      <w:tr>
        <w:trPr>
          <w:tblHeader w:val="false"/>
        </w:trPr>
        <w:tc>
          <w:tcPr>
            <w:tcW w:type="dxa" w:w="1196"/>
            <w:shd w:fill="F0F0F0" w:val="clear"/>
            <w:tcMar>
              <w:top w:type="dxa" w:w="50"/>
              <w:left w:type="dxa" w:w="90"/>
              <w:bottom w:type="dxa" w:w="50"/>
              <w:right w:type="dxa" w:w="90"/>
            </w:tcMar>
          </w:tcPr>
          <w:p>
            <w:r>
              <w:rPr>
                <w:b w:val="false"/>
                <w:bCs w:val="false"/>
                <w:color w:val="000000"/>
                <w:sz w:val="18"/>
                <w:szCs w:val="18"/>
              </w:rPr>
              <w:t xml:space="preserve">15 / Pipeline B (1b–4b)</w:t>
            </w:r>
          </w:p>
        </w:tc>
        <w:tc>
          <w:tcPr>
            <w:tcW w:type="dxa" w:w="5060"/>
            <w:shd w:fill="F0F0F0" w:val="clear"/>
            <w:tcMar>
              <w:top w:type="dxa" w:w="50"/>
              <w:left w:type="dxa" w:w="90"/>
              <w:bottom w:type="dxa" w:w="50"/>
              <w:right w:type="dxa" w:w="90"/>
            </w:tcMar>
          </w:tcPr>
          <w:p>
            <w:r>
              <w:rPr>
                <w:b w:val="false"/>
                <w:bCs w:val="false"/>
                <w:color w:val="000000"/>
                <w:sz w:val="18"/>
                <w:szCs w:val="18"/>
              </w:rPr>
              <w:t xml:space="preserve">Paires saisonnières-annuelles optimisées ERA5</w:t>
            </w:r>
          </w:p>
        </w:tc>
        <w:tc>
          <w:tcPr>
            <w:tcW w:type="dxa" w:w="2944"/>
            <w:shd w:fill="F0F0F0" w:val="clear"/>
            <w:tcMar>
              <w:top w:type="dxa" w:w="50"/>
              <w:left w:type="dxa" w:w="90"/>
              <w:bottom w:type="dxa" w:w="50"/>
              <w:right w:type="dxa" w:w="90"/>
            </w:tcMar>
          </w:tcPr>
          <w:p>
            <w:r>
              <w:rPr>
                <w:b w:val="false"/>
                <w:bCs w:val="false"/>
                <w:color w:val="000000"/>
                <w:sz w:val="18"/>
                <w:szCs w:val="18"/>
              </w:rPr>
              <w:t xml:space="preserve">Résultat nul robuste (§6)</w:t>
            </w:r>
          </w:p>
        </w:tc>
      </w:tr>
      <w:tr>
        <w:trPr>
          <w:tblHeader w:val="false"/>
        </w:trPr>
        <w:tc>
          <w:tcPr>
            <w:tcW w:type="dxa" w:w="1196"/>
            <w:tcMar>
              <w:top w:type="dxa" w:w="50"/>
              <w:left w:type="dxa" w:w="90"/>
              <w:bottom w:type="dxa" w:w="50"/>
              <w:right w:type="dxa" w:w="90"/>
            </w:tcMar>
          </w:tcPr>
          <w:p>
            <w:r>
              <w:rPr>
                <w:b w:val="false"/>
                <w:bCs w:val="false"/>
                <w:color w:val="000000"/>
                <w:sz w:val="18"/>
                <w:szCs w:val="18"/>
              </w:rPr>
              <w:t xml:space="preserve">11–14</w:t>
            </w:r>
          </w:p>
        </w:tc>
        <w:tc>
          <w:tcPr>
            <w:tcW w:type="dxa" w:w="5060"/>
            <w:tcMar>
              <w:top w:type="dxa" w:w="50"/>
              <w:left w:type="dxa" w:w="90"/>
              <w:bottom w:type="dxa" w:w="50"/>
              <w:right w:type="dxa" w:w="90"/>
            </w:tcMar>
          </w:tcPr>
          <w:p>
            <w:r>
              <w:rPr>
                <w:b w:val="false"/>
                <w:bCs w:val="false"/>
                <w:color w:val="000000"/>
                <w:sz w:val="18"/>
                <w:szCs w:val="18"/>
              </w:rPr>
              <w:t xml:space="preserve">Atmosphère, LOS→vertical, hydrologie, produits</w:t>
            </w:r>
          </w:p>
        </w:tc>
        <w:tc>
          <w:tcPr>
            <w:tcW w:type="dxa" w:w="2944"/>
            <w:tcMar>
              <w:top w:type="dxa" w:w="50"/>
              <w:left w:type="dxa" w:w="90"/>
              <w:bottom w:type="dxa" w:w="50"/>
              <w:right w:type="dxa" w:w="90"/>
            </w:tcMar>
          </w:tcPr>
          <w:p>
            <w:r>
              <w:rPr>
                <w:b w:val="false"/>
                <w:bCs w:val="false"/>
                <w:color w:val="000000"/>
                <w:sz w:val="18"/>
                <w:szCs w:val="18"/>
              </w:rPr>
              <w:t xml:space="preserve">Reformulés (§8–9)</w:t>
            </w:r>
          </w:p>
        </w:tc>
      </w:tr>
    </w:tbl>
    <w:p>
      <w:r>
        <w:br w:type="page"/>
      </w:r>
    </w:p>
    <w:p>
      <w:pPr>
        <w:pStyle w:val="Heading1"/>
        <w:spacing w:after="200" w:before="400"/>
      </w:pPr>
      <w:r>
        <w:t xml:space="preserve">4. Approche 1 — SBAS/MintPy dense : anatomie d'un échec instructif</w:t>
      </w:r>
    </w:p>
    <w:p>
      <w:pPr>
        <w:pStyle w:val="Heading2"/>
        <w:spacing w:after="150" w:before="300"/>
      </w:pPr>
      <w:r>
        <w:t xml:space="preserve">4.1 Les huit blocages, classés par nature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44"/>
        <w:gridCol w:w="5796"/>
        <w:gridCol w:w="2760"/>
      </w:tblGrid>
      <w:tr>
        <w:trPr>
          <w:tblHeader/>
        </w:trPr>
        <w:tc>
          <w:tcPr>
            <w:tcW w:type="dxa" w:w="644"/>
            <w:shd w:fill="9A6700" w:val="clear"/>
            <w:tcMar>
              <w:top w:type="dxa" w:w="50"/>
              <w:left w:type="dxa" w:w="90"/>
              <w:bottom w:type="dxa" w:w="50"/>
              <w:right w:type="dxa" w:w="90"/>
            </w:tcMar>
          </w:tcPr>
          <w:p>
            <w:r>
              <w:rPr>
                <w:b/>
                <w:bCs/>
                <w:color w:val="FFFFFF"/>
                <w:sz w:val="18"/>
                <w:szCs w:val="18"/>
              </w:rPr>
              <w:t xml:space="preserve">#</w:t>
            </w:r>
          </w:p>
        </w:tc>
        <w:tc>
          <w:tcPr>
            <w:tcW w:type="dxa" w:w="5796"/>
            <w:shd w:fill="9A6700" w:val="clear"/>
            <w:tcMar>
              <w:top w:type="dxa" w:w="50"/>
              <w:left w:type="dxa" w:w="90"/>
              <w:bottom w:type="dxa" w:w="50"/>
              <w:right w:type="dxa" w:w="90"/>
            </w:tcMar>
          </w:tcPr>
          <w:p>
            <w:r>
              <w:rPr>
                <w:b/>
                <w:bCs/>
                <w:color w:val="FFFFFF"/>
                <w:sz w:val="18"/>
                <w:szCs w:val="18"/>
              </w:rPr>
              <w:t xml:space="preserve">Blocage rencontré</w:t>
            </w:r>
          </w:p>
        </w:tc>
        <w:tc>
          <w:tcPr>
            <w:tcW w:type="dxa" w:w="2760"/>
            <w:shd w:fill="9A6700" w:val="clear"/>
            <w:tcMar>
              <w:top w:type="dxa" w:w="50"/>
              <w:left w:type="dxa" w:w="90"/>
              <w:bottom w:type="dxa" w:w="50"/>
              <w:right w:type="dxa" w:w="90"/>
            </w:tcMar>
          </w:tcPr>
          <w:p>
            <w:r>
              <w:rPr>
                <w:b/>
                <w:bCs/>
                <w:color w:val="FFFFFF"/>
                <w:sz w:val="18"/>
                <w:szCs w:val="18"/>
              </w:rPr>
              <w:t xml:space="preserve">Nature</w:t>
            </w:r>
          </w:p>
        </w:tc>
      </w:tr>
      <w:tr>
        <w:trPr>
          <w:tblHeader w:val="false"/>
        </w:trPr>
        <w:tc>
          <w:tcPr>
            <w:tcW w:type="dxa" w:w="644"/>
            <w:tcMar>
              <w:top w:type="dxa" w:w="50"/>
              <w:left w:type="dxa" w:w="90"/>
              <w:bottom w:type="dxa" w:w="50"/>
              <w:right w:type="dxa" w:w="90"/>
            </w:tcMar>
          </w:tcPr>
          <w:p>
            <w:r>
              <w:rPr>
                <w:b w:val="false"/>
                <w:bCs w:val="false"/>
                <w:color w:val="000000"/>
                <w:sz w:val="18"/>
                <w:szCs w:val="18"/>
              </w:rPr>
              <w:t xml:space="preserve">1</w:t>
            </w:r>
          </w:p>
        </w:tc>
        <w:tc>
          <w:tcPr>
            <w:tcW w:type="dxa" w:w="5796"/>
            <w:tcMar>
              <w:top w:type="dxa" w:w="50"/>
              <w:left w:type="dxa" w:w="90"/>
              <w:bottom w:type="dxa" w:w="50"/>
              <w:right w:type="dxa" w:w="90"/>
            </w:tcMar>
          </w:tcPr>
          <w:p>
            <w:r>
              <w:rPr>
                <w:b w:val="false"/>
                <w:bCs w:val="false"/>
                <w:color w:val="000000"/>
                <w:sz w:val="18"/>
                <w:szCs w:val="18"/>
              </w:rPr>
              <w:t xml:space="preserve">Modules non rechargés dans le kernel Colab</w:t>
            </w:r>
          </w:p>
        </w:tc>
        <w:tc>
          <w:tcPr>
            <w:tcW w:type="dxa" w:w="2760"/>
            <w:tcMar>
              <w:top w:type="dxa" w:w="50"/>
              <w:left w:type="dxa" w:w="90"/>
              <w:bottom w:type="dxa" w:w="50"/>
              <w:right w:type="dxa" w:w="90"/>
            </w:tcMar>
          </w:tcPr>
          <w:p>
            <w:r>
              <w:rPr>
                <w:b w:val="false"/>
                <w:bCs w:val="false"/>
                <w:color w:val="000000"/>
                <w:sz w:val="18"/>
                <w:szCs w:val="18"/>
              </w:rPr>
              <w:t xml:space="preserve">Bug d'environnement</w:t>
            </w:r>
          </w:p>
        </w:tc>
      </w:tr>
      <w:tr>
        <w:trPr>
          <w:tblHeader w:val="false"/>
        </w:trPr>
        <w:tc>
          <w:tcPr>
            <w:tcW w:type="dxa" w:w="644"/>
            <w:shd w:fill="F0F0F0" w:val="clear"/>
            <w:tcMar>
              <w:top w:type="dxa" w:w="50"/>
              <w:left w:type="dxa" w:w="90"/>
              <w:bottom w:type="dxa" w:w="50"/>
              <w:right w:type="dxa" w:w="90"/>
            </w:tcMar>
          </w:tcPr>
          <w:p>
            <w:r>
              <w:rPr>
                <w:b w:val="false"/>
                <w:bCs w:val="false"/>
                <w:color w:val="000000"/>
                <w:sz w:val="18"/>
                <w:szCs w:val="18"/>
              </w:rPr>
              <w:t xml:space="preserve">2</w:t>
            </w:r>
          </w:p>
        </w:tc>
        <w:tc>
          <w:tcPr>
            <w:tcW w:type="dxa" w:w="5796"/>
            <w:shd w:fill="F0F0F0" w:val="clear"/>
            <w:tcMar>
              <w:top w:type="dxa" w:w="50"/>
              <w:left w:type="dxa" w:w="90"/>
              <w:bottom w:type="dxa" w:w="50"/>
              <w:right w:type="dxa" w:w="90"/>
            </w:tcMar>
          </w:tcPr>
          <w:p>
            <w:r>
              <w:rPr>
                <w:b w:val="false"/>
                <w:bCs w:val="false"/>
                <w:color w:val="000000"/>
                <w:sz w:val="18"/>
                <w:szCs w:val="18"/>
              </w:rPr>
              <w:t xml:space="preserve">Bursts candidats à couverture ambiguë</w:t>
            </w:r>
          </w:p>
        </w:tc>
        <w:tc>
          <w:tcPr>
            <w:tcW w:type="dxa" w:w="2760"/>
            <w:shd w:fill="F0F0F0" w:val="clear"/>
            <w:tcMar>
              <w:top w:type="dxa" w:w="50"/>
              <w:left w:type="dxa" w:w="90"/>
              <w:bottom w:type="dxa" w:w="50"/>
              <w:right w:type="dxa" w:w="90"/>
            </w:tcMar>
          </w:tcPr>
          <w:p>
            <w:r>
              <w:rPr>
                <w:b w:val="false"/>
                <w:bCs w:val="false"/>
                <w:color w:val="000000"/>
                <w:sz w:val="18"/>
                <w:szCs w:val="18"/>
              </w:rPr>
              <w:t xml:space="preserve">Bug de données</w:t>
            </w:r>
          </w:p>
        </w:tc>
      </w:tr>
      <w:tr>
        <w:trPr>
          <w:tblHeader w:val="false"/>
        </w:trPr>
        <w:tc>
          <w:tcPr>
            <w:tcW w:type="dxa" w:w="644"/>
            <w:tcMar>
              <w:top w:type="dxa" w:w="50"/>
              <w:left w:type="dxa" w:w="90"/>
              <w:bottom w:type="dxa" w:w="50"/>
              <w:right w:type="dxa" w:w="90"/>
            </w:tcMar>
          </w:tcPr>
          <w:p>
            <w:r>
              <w:rPr>
                <w:b w:val="false"/>
                <w:bCs w:val="false"/>
                <w:color w:val="000000"/>
                <w:sz w:val="18"/>
                <w:szCs w:val="18"/>
              </w:rPr>
              <w:t xml:space="preserve">3</w:t>
            </w:r>
          </w:p>
        </w:tc>
        <w:tc>
          <w:tcPr>
            <w:tcW w:type="dxa" w:w="5796"/>
            <w:tcMar>
              <w:top w:type="dxa" w:w="50"/>
              <w:left w:type="dxa" w:w="90"/>
              <w:bottom w:type="dxa" w:w="50"/>
              <w:right w:type="dxa" w:w="90"/>
            </w:tcMar>
          </w:tcPr>
          <w:p>
            <w:r>
              <w:rPr>
                <w:b w:val="false"/>
                <w:bCs w:val="false"/>
                <w:color w:val="000000"/>
                <w:sz w:val="18"/>
                <w:szCs w:val="18"/>
              </w:rPr>
              <w:t xml:space="preserve">conncomp absent (mauvais glob de fichier)</w:t>
            </w:r>
          </w:p>
        </w:tc>
        <w:tc>
          <w:tcPr>
            <w:tcW w:type="dxa" w:w="2760"/>
            <w:tcMar>
              <w:top w:type="dxa" w:w="50"/>
              <w:left w:type="dxa" w:w="90"/>
              <w:bottom w:type="dxa" w:w="50"/>
              <w:right w:type="dxa" w:w="90"/>
            </w:tcMar>
          </w:tcPr>
          <w:p>
            <w:r>
              <w:rPr>
                <w:b w:val="false"/>
                <w:bCs w:val="false"/>
                <w:color w:val="000000"/>
                <w:sz w:val="18"/>
                <w:szCs w:val="18"/>
              </w:rPr>
              <w:t xml:space="preserve">Bug de code</w:t>
            </w:r>
          </w:p>
        </w:tc>
      </w:tr>
      <w:tr>
        <w:trPr>
          <w:tblHeader w:val="false"/>
        </w:trPr>
        <w:tc>
          <w:tcPr>
            <w:tcW w:type="dxa" w:w="644"/>
            <w:shd w:fill="F0F0F0" w:val="clear"/>
            <w:tcMar>
              <w:top w:type="dxa" w:w="50"/>
              <w:left w:type="dxa" w:w="90"/>
              <w:bottom w:type="dxa" w:w="50"/>
              <w:right w:type="dxa" w:w="90"/>
            </w:tcMar>
          </w:tcPr>
          <w:p>
            <w:r>
              <w:rPr>
                <w:b w:val="false"/>
                <w:bCs w:val="false"/>
                <w:color w:val="000000"/>
                <w:sz w:val="18"/>
                <w:szCs w:val="18"/>
              </w:rPr>
              <w:t xml:space="preserve">4</w:t>
            </w:r>
          </w:p>
        </w:tc>
        <w:tc>
          <w:tcPr>
            <w:tcW w:type="dxa" w:w="5796"/>
            <w:shd w:fill="F0F0F0" w:val="clear"/>
            <w:tcMar>
              <w:top w:type="dxa" w:w="50"/>
              <w:left w:type="dxa" w:w="90"/>
              <w:bottom w:type="dxa" w:w="50"/>
              <w:right w:type="dxa" w:w="90"/>
            </w:tcMar>
          </w:tcPr>
          <w:p>
            <w:r>
              <w:rPr>
                <w:b w:val="false"/>
                <w:bCs w:val="false"/>
                <w:color w:val="000000"/>
                <w:sz w:val="18"/>
                <w:szCs w:val="18"/>
              </w:rPr>
              <w:t xml:space="preserve">Point de référence instable (auto MintPy échoue)</w:t>
            </w:r>
          </w:p>
        </w:tc>
        <w:tc>
          <w:tcPr>
            <w:tcW w:type="dxa" w:w="2760"/>
            <w:shd w:fill="F0F0F0" w:val="clear"/>
            <w:tcMar>
              <w:top w:type="dxa" w:w="50"/>
              <w:left w:type="dxa" w:w="90"/>
              <w:bottom w:type="dxa" w:w="50"/>
              <w:right w:type="dxa" w:w="90"/>
            </w:tcMar>
          </w:tcPr>
          <w:p>
            <w:r>
              <w:rPr>
                <w:b w:val="false"/>
                <w:bCs w:val="false"/>
                <w:color w:val="000000"/>
                <w:sz w:val="18"/>
                <w:szCs w:val="18"/>
              </w:rPr>
              <w:t xml:space="preserve">Limite d'outil</w:t>
            </w:r>
          </w:p>
        </w:tc>
      </w:tr>
      <w:tr>
        <w:trPr>
          <w:tblHeader w:val="false"/>
        </w:trPr>
        <w:tc>
          <w:tcPr>
            <w:tcW w:type="dxa" w:w="644"/>
            <w:tcMar>
              <w:top w:type="dxa" w:w="50"/>
              <w:left w:type="dxa" w:w="90"/>
              <w:bottom w:type="dxa" w:w="50"/>
              <w:right w:type="dxa" w:w="90"/>
            </w:tcMar>
          </w:tcPr>
          <w:p>
            <w:r>
              <w:rPr>
                <w:b w:val="false"/>
                <w:bCs w:val="false"/>
                <w:color w:val="000000"/>
                <w:sz w:val="18"/>
                <w:szCs w:val="18"/>
              </w:rPr>
              <w:t xml:space="preserve">5</w:t>
            </w:r>
          </w:p>
        </w:tc>
        <w:tc>
          <w:tcPr>
            <w:tcW w:type="dxa" w:w="5796"/>
            <w:tcMar>
              <w:top w:type="dxa" w:w="50"/>
              <w:left w:type="dxa" w:w="90"/>
              <w:bottom w:type="dxa" w:w="50"/>
              <w:right w:type="dxa" w:w="90"/>
            </w:tcMar>
          </w:tcPr>
          <w:p>
            <w:r>
              <w:rPr>
                <w:b w:val="false"/>
                <w:bCs w:val="false"/>
                <w:color w:val="000000"/>
                <w:sz w:val="18"/>
                <w:szCs w:val="18"/>
              </w:rPr>
              <w:t xml:space="preserve">Config persistante smallbaselineApp.cfg (valeurs stale)</w:t>
            </w:r>
          </w:p>
        </w:tc>
        <w:tc>
          <w:tcPr>
            <w:tcW w:type="dxa" w:w="2760"/>
            <w:tcMar>
              <w:top w:type="dxa" w:w="50"/>
              <w:left w:type="dxa" w:w="90"/>
              <w:bottom w:type="dxa" w:w="50"/>
              <w:right w:type="dxa" w:w="90"/>
            </w:tcMar>
          </w:tcPr>
          <w:p>
            <w:r>
              <w:rPr>
                <w:b w:val="false"/>
                <w:bCs w:val="false"/>
                <w:color w:val="000000"/>
                <w:sz w:val="18"/>
                <w:szCs w:val="18"/>
              </w:rPr>
              <w:t xml:space="preserve">Limite d'outil</w:t>
            </w:r>
          </w:p>
        </w:tc>
      </w:tr>
      <w:tr>
        <w:trPr>
          <w:tblHeader w:val="false"/>
        </w:trPr>
        <w:tc>
          <w:tcPr>
            <w:tcW w:type="dxa" w:w="644"/>
            <w:shd w:fill="F0F0F0" w:val="clear"/>
            <w:tcMar>
              <w:top w:type="dxa" w:w="50"/>
              <w:left w:type="dxa" w:w="90"/>
              <w:bottom w:type="dxa" w:w="50"/>
              <w:right w:type="dxa" w:w="90"/>
            </w:tcMar>
          </w:tcPr>
          <w:p>
            <w:r>
              <w:rPr>
                <w:b w:val="false"/>
                <w:bCs w:val="false"/>
                <w:color w:val="000000"/>
                <w:sz w:val="18"/>
                <w:szCs w:val="18"/>
              </w:rPr>
              <w:t xml:space="preserve">6</w:t>
            </w:r>
          </w:p>
        </w:tc>
        <w:tc>
          <w:tcPr>
            <w:tcW w:type="dxa" w:w="5796"/>
            <w:shd w:fill="F0F0F0" w:val="clear"/>
            <w:tcMar>
              <w:top w:type="dxa" w:w="50"/>
              <w:left w:type="dxa" w:w="90"/>
              <w:bottom w:type="dxa" w:w="50"/>
              <w:right w:type="dxa" w:w="90"/>
            </w:tcMar>
          </w:tcPr>
          <w:p>
            <w:r>
              <w:rPr>
                <w:b w:val="false"/>
                <w:bCs w:val="false"/>
                <w:color w:val="000000"/>
                <w:sz w:val="18"/>
                <w:szCs w:val="18"/>
              </w:rPr>
              <w:t xml:space="preserve">bridging exige la réf dans CHAQUE interférogramme</w:t>
            </w:r>
          </w:p>
        </w:tc>
        <w:tc>
          <w:tcPr>
            <w:tcW w:type="dxa" w:w="2760"/>
            <w:shd w:fill="F0F0F0" w:val="clear"/>
            <w:tcMar>
              <w:top w:type="dxa" w:w="50"/>
              <w:left w:type="dxa" w:w="90"/>
              <w:bottom w:type="dxa" w:w="50"/>
              <w:right w:type="dxa" w:w="90"/>
            </w:tcMar>
          </w:tcPr>
          <w:p>
            <w:r>
              <w:rPr>
                <w:b w:val="false"/>
                <w:bCs w:val="false"/>
                <w:color w:val="000000"/>
                <w:sz w:val="18"/>
                <w:szCs w:val="18"/>
              </w:rPr>
              <w:t xml:space="preserve">Limite d'outil (doc. #819)</w:t>
            </w:r>
          </w:p>
        </w:tc>
      </w:tr>
      <w:tr>
        <w:trPr>
          <w:tblHeader w:val="false"/>
        </w:trPr>
        <w:tc>
          <w:tcPr>
            <w:tcW w:type="dxa" w:w="644"/>
            <w:tcMar>
              <w:top w:type="dxa" w:w="50"/>
              <w:left w:type="dxa" w:w="90"/>
              <w:bottom w:type="dxa" w:w="50"/>
              <w:right w:type="dxa" w:w="90"/>
            </w:tcMar>
          </w:tcPr>
          <w:p>
            <w:r>
              <w:rPr>
                <w:b w:val="false"/>
                <w:bCs w:val="false"/>
                <w:color w:val="000000"/>
                <w:sz w:val="18"/>
                <w:szCs w:val="18"/>
              </w:rPr>
              <w:t xml:space="preserve">7</w:t>
            </w:r>
          </w:p>
        </w:tc>
        <w:tc>
          <w:tcPr>
            <w:tcW w:type="dxa" w:w="5796"/>
            <w:tcMar>
              <w:top w:type="dxa" w:w="50"/>
              <w:left w:type="dxa" w:w="90"/>
              <w:bottom w:type="dxa" w:w="50"/>
              <w:right w:type="dxa" w:w="90"/>
            </w:tcMar>
          </w:tcPr>
          <w:p>
            <w:r>
              <w:rPr>
                <w:b w:val="false"/>
                <w:bCs w:val="false"/>
                <w:color w:val="000000"/>
                <w:sz w:val="18"/>
                <w:szCs w:val="18"/>
              </w:rPr>
              <w:t xml:space="preserve">phase_closure : « 0 common regions »</w:t>
            </w:r>
          </w:p>
        </w:tc>
        <w:tc>
          <w:tcPr>
            <w:tcW w:type="dxa" w:w="2760"/>
            <w:tcMar>
              <w:top w:type="dxa" w:w="50"/>
              <w:left w:type="dxa" w:w="90"/>
              <w:bottom w:type="dxa" w:w="50"/>
              <w:right w:type="dxa" w:w="90"/>
            </w:tcMar>
          </w:tcPr>
          <w:p>
            <w:r>
              <w:rPr>
                <w:b w:val="false"/>
                <w:bCs w:val="false"/>
                <w:color w:val="000000"/>
                <w:sz w:val="18"/>
                <w:szCs w:val="18"/>
              </w:rPr>
              <w:t xml:space="preserve">Limite physique</w:t>
            </w:r>
          </w:p>
        </w:tc>
      </w:tr>
      <w:tr>
        <w:trPr>
          <w:tblHeader w:val="false"/>
        </w:trPr>
        <w:tc>
          <w:tcPr>
            <w:tcW w:type="dxa" w:w="644"/>
            <w:shd w:fill="F0F0F0" w:val="clear"/>
            <w:tcMar>
              <w:top w:type="dxa" w:w="50"/>
              <w:left w:type="dxa" w:w="90"/>
              <w:bottom w:type="dxa" w:w="50"/>
              <w:right w:type="dxa" w:w="90"/>
            </w:tcMar>
          </w:tcPr>
          <w:p>
            <w:r>
              <w:rPr>
                <w:b w:val="false"/>
                <w:bCs w:val="false"/>
                <w:color w:val="000000"/>
                <w:sz w:val="18"/>
                <w:szCs w:val="18"/>
              </w:rPr>
              <w:t xml:space="preserve">8</w:t>
            </w:r>
          </w:p>
        </w:tc>
        <w:tc>
          <w:tcPr>
            <w:tcW w:type="dxa" w:w="5796"/>
            <w:shd w:fill="F0F0F0" w:val="clear"/>
            <w:tcMar>
              <w:top w:type="dxa" w:w="50"/>
              <w:left w:type="dxa" w:w="90"/>
              <w:bottom w:type="dxa" w:w="50"/>
              <w:right w:type="dxa" w:w="90"/>
            </w:tcMar>
          </w:tcPr>
          <w:p>
            <w:r>
              <w:rPr>
                <w:b w:val="false"/>
                <w:bCs w:val="false"/>
                <w:color w:val="000000"/>
                <w:sz w:val="18"/>
                <w:szCs w:val="18"/>
              </w:rPr>
              <w:t xml:space="preserve">Décorrélation estivale généralisée</w:t>
            </w:r>
          </w:p>
        </w:tc>
        <w:tc>
          <w:tcPr>
            <w:tcW w:type="dxa" w:w="2760"/>
            <w:shd w:fill="F0F0F0" w:val="clear"/>
            <w:tcMar>
              <w:top w:type="dxa" w:w="50"/>
              <w:left w:type="dxa" w:w="90"/>
              <w:bottom w:type="dxa" w:w="50"/>
              <w:right w:type="dxa" w:w="90"/>
            </w:tcMar>
          </w:tcPr>
          <w:p>
            <w:r>
              <w:rPr>
                <w:b w:val="false"/>
                <w:bCs w:val="false"/>
                <w:color w:val="000000"/>
                <w:sz w:val="18"/>
                <w:szCs w:val="18"/>
              </w:rPr>
              <w:t xml:space="preserve">Limite physique</w:t>
            </w:r>
          </w:p>
        </w:tc>
      </w:tr>
    </w:tbl>
    <w:p>
      <w:pPr>
        <w:spacing w:after="120"/>
      </w:pPr>
      <w:r>
        <w:t xml:space="preserve">Résultat final accepté : 182 pixels résolus seulement, concentrés HORS tourbière ; unwrapError.method = « no » verrouillé comme état final honnête. Les blocages 7 et 8 ne sont pas des bugs : « 0 common regions » signifie qu'aucune région du site ne reste cohérente sur l'ensemble du réseau.</w:t>
      </w:r>
    </w:p>
    <w:p>
      <w:pPr>
        <w:pStyle w:val="Heading2"/>
        <w:spacing w:after="150" w:before="300"/>
      </w:pPr>
      <w:r>
        <w:t xml:space="preserve">4.2 La cause racine physique</w:t>
      </w:r>
    </w:p>
    <w:p>
      <w:pPr>
        <w:spacing w:after="120"/>
      </w:pPr>
      <w:r>
        <w:t xml:space="preserve">Au-delà des bugs corrigés, l'échec tient à une incompatibilité fondamentale entre la bande C + cycle 12 j + fen végétalisé flottant et l'architecture SBAS dense :</w:t>
      </w:r>
    </w:p>
    <w:p>
      <w:pPr>
        <w:pStyle w:val="ListParagraph"/>
        <w:numPr>
          <w:ilvl w:val="0"/>
          <w:numId w:val="1"/>
        </w:numPr>
        <w:spacing w:after="60"/>
      </w:pPr>
      <w:r>
        <w:t xml:space="preserve">Bande C (λ=5.55 cm) : diffusion de volume dans le couvert herbacé/mousses ; décorrélation temporelle en quelques jours dès la croissance printanière. L'onde ne « voit » le sol qu'en fin d'hiver.</w:t>
      </w:r>
    </w:p>
    <w:p>
      <w:pPr>
        <w:pStyle w:val="ListParagraph"/>
        <w:numPr>
          <w:ilvl w:val="0"/>
          <w:numId w:val="1"/>
        </w:numPr>
        <w:spacing w:after="60"/>
      </w:pPr>
      <w:r>
        <w:t xml:space="preserve">Rapport signal/bruit des paires courtes : à 12–48 j, le déplacement attendu (0.05–0.2 mm) est ~100× sous le bruit de phase. Le réseau dense ne moyenne le bruit que si la cohérence survit — ce qui n'est pas le cas l'été.</w:t>
      </w:r>
    </w:p>
    <w:p>
      <w:pPr>
        <w:pStyle w:val="ListParagraph"/>
        <w:numPr>
          <w:ilvl w:val="0"/>
          <w:numId w:val="1"/>
        </w:numPr>
        <w:spacing w:after="60"/>
      </w:pPr>
      <w:r>
        <w:t xml:space="preserve">Surface intermittente (inondation/gel) : le « réseau connexe unique » supposé par SBAS n'existe pas physiquement. L'ISBAS corrige l'algorithme, pas le manque d'information.</w:t>
      </w:r>
    </w:p>
    <w:p>
      <w:pPr>
        <w:pStyle w:val="ListParagraph"/>
        <w:numPr>
          <w:ilvl w:val="0"/>
          <w:numId w:val="1"/>
        </w:numPr>
        <w:spacing w:after="60"/>
      </w:pPr>
      <w:r>
        <w:t xml:space="preserve">Hypothèses MintPy héritées des cibles cohérentes (roche/urbain) : référence visible partout, composantes connexes stables, correction tropo en aval — toutes inadaptées à une zone humide petite et flottante.</w:t>
      </w:r>
    </w:p>
    <w:p>
      <w:pPr>
        <w:pStyle w:val="Heading1"/>
        <w:spacing w:after="200" w:before="400"/>
      </w:pPr>
      <w:r>
        <w:t xml:space="preserve">5. Approche 2 — ISBAS custom : gain et limite</w:t>
      </w:r>
    </w:p>
    <w:p>
      <w:pPr>
        <w:spacing w:after="120"/>
      </w:pPr>
      <w:r>
        <w:t xml:space="preserve">L'ISBAS (Intermittent SBAS) implémenté résout, pixel par pixel, le sous-système des seules paires valides (cohérentes et hors-eau), par moindres carrés pondérés — indépendamment de la machinerie de composantes connexes de MintPy. Il récupère de vrais pixels intermittents que le SBAS abandonne. Mais le gain, réel, reste insuffisant pour une carte continue exploitable : quand l'information de phase est physiquement absente (décorrélation, eau), aucun algorithme ne la recrée. L'ISBAS déplace la limite ; il ne la supprime pas.</w:t>
      </w:r>
    </w:p>
    <w:p>
      <w:pPr>
        <w:pStyle w:val="Heading1"/>
        <w:spacing w:after="200" w:before="400"/>
      </w:pPr>
      <w:r>
        <w:t xml:space="preserve">6. Approche 3 — Pipeline B : paires saisonnières-annuelles optimisées</w:t>
      </w:r>
    </w:p>
    <w:p>
      <w:pPr>
        <w:pStyle w:val="Heading2"/>
        <w:spacing w:after="150" w:before="300"/>
      </w:pPr>
      <w:r>
        <w:t xml:space="preserve">6.1 Principe et améliorations vs l'article</w:t>
      </w:r>
    </w:p>
    <w:p>
      <w:pPr>
        <w:spacing w:after="120"/>
      </w:pPr>
      <w:r>
        <w:t xml:space="preserve">Inspiré de Ghezelayagh et al. (2024, §2.3.1) : comparer avril→avril (phénologie identique, signal accumulé sur ~1 an ≫ bruit), sans réseau ni inversion globale. Quatre améliorations quantitatives ont été implémentées et testées synthétiquement :</w:t>
      </w:r>
    </w:p>
    <w:p>
      <w:pPr>
        <w:pStyle w:val="ListParagraph"/>
        <w:numPr>
          <w:ilvl w:val="0"/>
          <w:numId w:val="1"/>
        </w:numPr>
        <w:spacing w:after="60"/>
      </w:pPr>
      <w:r>
        <w:t xml:space="preserve">Sélection atmosphérique QUANTITATIVE par ERA5 (|Δtcwv| + pénalité précipitation) au lieu des relevés météo manuels ;</w:t>
      </w:r>
    </w:p>
    <w:p>
      <w:pPr>
        <w:pStyle w:val="ListParagraph"/>
        <w:numPr>
          <w:ilvl w:val="0"/>
          <w:numId w:val="1"/>
        </w:numPr>
        <w:spacing w:after="60"/>
      </w:pPr>
      <w:r>
        <w:t xml:space="preserve">Top-k=3 paires par transition → médiane d'ensemble robuste (rejette une paire corrompue : validé, paire polluée à +40 mm/an, médiane exacte à ±0.15) ;</w:t>
      </w:r>
    </w:p>
    <w:p>
      <w:pPr>
        <w:pStyle w:val="ListParagraph"/>
        <w:numPr>
          <w:ilvl w:val="0"/>
          <w:numId w:val="1"/>
        </w:numPr>
        <w:spacing w:after="60"/>
      </w:pPr>
      <w:r>
        <w:t xml:space="preserve">Deramp explicite par paire, restreint à un anneau de sol stable proche de l'AOI (~800 m) ;</w:t>
      </w:r>
    </w:p>
    <w:p>
      <w:pPr>
        <w:pStyle w:val="ListParagraph"/>
        <w:numPr>
          <w:ilvl w:val="0"/>
          <w:numId w:val="1"/>
        </w:numPr>
        <w:spacing w:after="60"/>
      </w:pPr>
      <w:r>
        <w:t xml:space="preserve">Incertitude par pixel (IQR inter-paires) ; masquage de l'eau permanente (lac résiduel).</w:t>
      </w:r>
    </w:p>
    <w:p>
      <w:pPr>
        <w:pStyle w:val="Heading2"/>
        <w:spacing w:after="150" w:before="300"/>
      </w:pPr>
      <w:r>
        <w:t xml:space="preserve">6.2 Résultats chiffrés et lecture critique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28"/>
        <w:gridCol w:w="2576"/>
        <w:gridCol w:w="3496"/>
      </w:tblGrid>
      <w:tr>
        <w:trPr>
          <w:tblHeader/>
        </w:trPr>
        <w:tc>
          <w:tcPr>
            <w:tcW w:type="dxa" w:w="3128"/>
            <w:shd w:fill="1F3864" w:val="clear"/>
            <w:tcMar>
              <w:top w:type="dxa" w:w="50"/>
              <w:left w:type="dxa" w:w="90"/>
              <w:bottom w:type="dxa" w:w="50"/>
              <w:right w:type="dxa" w:w="90"/>
            </w:tcMar>
          </w:tcPr>
          <w:p>
            <w:r>
              <w:rPr>
                <w:b/>
                <w:bCs/>
                <w:color w:val="FFFFFF"/>
                <w:sz w:val="18"/>
                <w:szCs w:val="18"/>
              </w:rPr>
              <w:t xml:space="preserve">Indicateur</w:t>
            </w:r>
          </w:p>
        </w:tc>
        <w:tc>
          <w:tcPr>
            <w:tcW w:type="dxa" w:w="2576"/>
            <w:shd w:fill="1F3864" w:val="clear"/>
            <w:tcMar>
              <w:top w:type="dxa" w:w="50"/>
              <w:left w:type="dxa" w:w="90"/>
              <w:bottom w:type="dxa" w:w="50"/>
              <w:right w:type="dxa" w:w="90"/>
            </w:tcMar>
          </w:tcPr>
          <w:p>
            <w:r>
              <w:rPr>
                <w:b/>
                <w:bCs/>
                <w:color w:val="FFFFFF"/>
                <w:sz w:val="18"/>
                <w:szCs w:val="18"/>
              </w:rPr>
              <w:t xml:space="preserve">Valeur</w:t>
            </w:r>
          </w:p>
        </w:tc>
        <w:tc>
          <w:tcPr>
            <w:tcW w:type="dxa" w:w="3496"/>
            <w:shd w:fill="1F3864" w:val="clear"/>
            <w:tcMar>
              <w:top w:type="dxa" w:w="50"/>
              <w:left w:type="dxa" w:w="90"/>
              <w:bottom w:type="dxa" w:w="50"/>
              <w:right w:type="dxa" w:w="90"/>
            </w:tcMar>
          </w:tcPr>
          <w:p>
            <w:r>
              <w:rPr>
                <w:b/>
                <w:bCs/>
                <w:color w:val="FFFFFF"/>
                <w:sz w:val="18"/>
                <w:szCs w:val="18"/>
              </w:rPr>
              <w:t xml:space="preserve">Lecture</w:t>
            </w:r>
          </w:p>
        </w:tc>
      </w:tr>
      <w:tr>
        <w:trPr>
          <w:tblHeader w:val="false"/>
        </w:trPr>
        <w:tc>
          <w:tcPr>
            <w:tcW w:type="dxa" w:w="3128"/>
            <w:tcMar>
              <w:top w:type="dxa" w:w="50"/>
              <w:left w:type="dxa" w:w="90"/>
              <w:bottom w:type="dxa" w:w="50"/>
              <w:right w:type="dxa" w:w="90"/>
            </w:tcMar>
          </w:tcPr>
          <w:p>
            <w:r>
              <w:rPr>
                <w:b w:val="false"/>
                <w:bCs w:val="false"/>
                <w:color w:val="000000"/>
                <w:sz w:val="18"/>
                <w:szCs w:val="18"/>
              </w:rPr>
              <w:t xml:space="preserve">AOI médiane</w:t>
            </w:r>
          </w:p>
        </w:tc>
        <w:tc>
          <w:tcPr>
            <w:tcW w:type="dxa" w:w="2576"/>
            <w:tcMar>
              <w:top w:type="dxa" w:w="50"/>
              <w:left w:type="dxa" w:w="90"/>
              <w:bottom w:type="dxa" w:w="50"/>
              <w:right w:type="dxa" w:w="90"/>
            </w:tcMar>
          </w:tcPr>
          <w:p>
            <w:r>
              <w:rPr>
                <w:b w:val="false"/>
                <w:bCs w:val="false"/>
                <w:color w:val="000000"/>
                <w:sz w:val="18"/>
                <w:szCs w:val="18"/>
              </w:rPr>
              <w:t xml:space="preserve">−4.5 mm/an</w:t>
            </w:r>
          </w:p>
        </w:tc>
        <w:tc>
          <w:tcPr>
            <w:tcW w:type="dxa" w:w="3496"/>
            <w:tcMar>
              <w:top w:type="dxa" w:w="50"/>
              <w:left w:type="dxa" w:w="90"/>
              <w:bottom w:type="dxa" w:w="50"/>
              <w:right w:type="dxa" w:w="90"/>
            </w:tcMar>
          </w:tcPr>
          <w:p>
            <w:r>
              <w:rPr>
                <w:b w:val="false"/>
                <w:bCs w:val="false"/>
                <w:color w:val="000000"/>
                <w:sz w:val="18"/>
                <w:szCs w:val="18"/>
              </w:rPr>
              <w:t xml:space="preserve">Faible subsidence apparente</w:t>
            </w:r>
          </w:p>
        </w:tc>
      </w:tr>
      <w:tr>
        <w:trPr>
          <w:tblHeader w:val="false"/>
        </w:trPr>
        <w:tc>
          <w:tcPr>
            <w:tcW w:type="dxa" w:w="3128"/>
            <w:shd w:fill="F0F0F0" w:val="clear"/>
            <w:tcMar>
              <w:top w:type="dxa" w:w="50"/>
              <w:left w:type="dxa" w:w="90"/>
              <w:bottom w:type="dxa" w:w="50"/>
              <w:right w:type="dxa" w:w="90"/>
            </w:tcMar>
          </w:tcPr>
          <w:p>
            <w:r>
              <w:rPr>
                <w:b w:val="false"/>
                <w:bCs w:val="false"/>
                <w:color w:val="000000"/>
                <w:sz w:val="18"/>
                <w:szCs w:val="18"/>
              </w:rPr>
              <w:t xml:space="preserve">AOI IQR (incertitude)</w:t>
            </w:r>
          </w:p>
        </w:tc>
        <w:tc>
          <w:tcPr>
            <w:tcW w:type="dxa" w:w="2576"/>
            <w:shd w:fill="F0F0F0" w:val="clear"/>
            <w:tcMar>
              <w:top w:type="dxa" w:w="50"/>
              <w:left w:type="dxa" w:w="90"/>
              <w:bottom w:type="dxa" w:w="50"/>
              <w:right w:type="dxa" w:w="90"/>
            </w:tcMar>
          </w:tcPr>
          <w:p>
            <w:r>
              <w:rPr>
                <w:b w:val="false"/>
                <w:bCs w:val="false"/>
                <w:color w:val="000000"/>
                <w:sz w:val="18"/>
                <w:szCs w:val="18"/>
              </w:rPr>
              <w:t xml:space="preserve">±18.9 mm/an</w:t>
            </w:r>
          </w:p>
        </w:tc>
        <w:tc>
          <w:tcPr>
            <w:tcW w:type="dxa" w:w="3496"/>
            <w:shd w:fill="F0F0F0" w:val="clear"/>
            <w:tcMar>
              <w:top w:type="dxa" w:w="50"/>
              <w:left w:type="dxa" w:w="90"/>
              <w:bottom w:type="dxa" w:w="50"/>
              <w:right w:type="dxa" w:w="90"/>
            </w:tcMar>
          </w:tcPr>
          <w:p>
            <w:r>
              <w:rPr>
                <w:b w:val="false"/>
                <w:bCs w:val="false"/>
                <w:color w:val="000000"/>
                <w:sz w:val="18"/>
                <w:szCs w:val="18"/>
              </w:rPr>
              <w:t xml:space="preserve">≈ 4× le signal</w:t>
            </w:r>
          </w:p>
        </w:tc>
      </w:tr>
      <w:tr>
        <w:trPr>
          <w:tblHeader w:val="false"/>
        </w:trPr>
        <w:tc>
          <w:tcPr>
            <w:tcW w:type="dxa" w:w="3128"/>
            <w:tcMar>
              <w:top w:type="dxa" w:w="50"/>
              <w:left w:type="dxa" w:w="90"/>
              <w:bottom w:type="dxa" w:w="50"/>
              <w:right w:type="dxa" w:w="90"/>
            </w:tcMar>
          </w:tcPr>
          <w:p>
            <w:r>
              <w:rPr>
                <w:b w:val="false"/>
                <w:bCs w:val="false"/>
                <w:color w:val="000000"/>
                <w:sz w:val="18"/>
                <w:szCs w:val="18"/>
              </w:rPr>
              <w:t xml:space="preserve">Écart ensemble vs WLS</w:t>
            </w:r>
          </w:p>
        </w:tc>
        <w:tc>
          <w:tcPr>
            <w:tcW w:type="dxa" w:w="2576"/>
            <w:tcMar>
              <w:top w:type="dxa" w:w="50"/>
              <w:left w:type="dxa" w:w="90"/>
              <w:bottom w:type="dxa" w:w="50"/>
              <w:right w:type="dxa" w:w="90"/>
            </w:tcMar>
          </w:tcPr>
          <w:p>
            <w:r>
              <w:rPr>
                <w:b w:val="false"/>
                <w:bCs w:val="false"/>
                <w:color w:val="000000"/>
                <w:sz w:val="18"/>
                <w:szCs w:val="18"/>
              </w:rPr>
              <w:t xml:space="preserve">+1.7 mm/an</w:t>
            </w:r>
          </w:p>
        </w:tc>
        <w:tc>
          <w:tcPr>
            <w:tcW w:type="dxa" w:w="3496"/>
            <w:tcMar>
              <w:top w:type="dxa" w:w="50"/>
              <w:left w:type="dxa" w:w="90"/>
              <w:bottom w:type="dxa" w:w="50"/>
              <w:right w:type="dxa" w:w="90"/>
            </w:tcMar>
          </w:tcPr>
          <w:p>
            <w:r>
              <w:rPr>
                <w:b w:val="false"/>
                <w:bCs w:val="false"/>
                <w:color w:val="000000"/>
                <w:sz w:val="18"/>
                <w:szCs w:val="18"/>
              </w:rPr>
              <w:t xml:space="preserve">Estimateurs concordants…</w:t>
            </w:r>
          </w:p>
        </w:tc>
      </w:tr>
      <w:tr>
        <w:trPr>
          <w:tblHeader w:val="false"/>
        </w:trPr>
        <w:tc>
          <w:tcPr>
            <w:tcW w:type="dxa" w:w="3128"/>
            <w:shd w:fill="F0F0F0" w:val="clear"/>
            <w:tcMar>
              <w:top w:type="dxa" w:w="50"/>
              <w:left w:type="dxa" w:w="90"/>
              <w:bottom w:type="dxa" w:w="50"/>
              <w:right w:type="dxa" w:w="90"/>
            </w:tcMar>
          </w:tcPr>
          <w:p>
            <w:r>
              <w:rPr>
                <w:b w:val="false"/>
                <w:bCs w:val="false"/>
                <w:color w:val="000000"/>
                <w:sz w:val="18"/>
                <w:szCs w:val="18"/>
              </w:rPr>
              <w:t xml:space="preserve">Amplitude de deramp par paire</w:t>
            </w:r>
          </w:p>
        </w:tc>
        <w:tc>
          <w:tcPr>
            <w:tcW w:type="dxa" w:w="2576"/>
            <w:shd w:fill="F0F0F0" w:val="clear"/>
            <w:tcMar>
              <w:top w:type="dxa" w:w="50"/>
              <w:left w:type="dxa" w:w="90"/>
              <w:bottom w:type="dxa" w:w="50"/>
              <w:right w:type="dxa" w:w="90"/>
            </w:tcMar>
          </w:tcPr>
          <w:p>
            <w:r>
              <w:rPr>
                <w:b w:val="false"/>
                <w:bCs w:val="false"/>
                <w:color w:val="000000"/>
                <w:sz w:val="18"/>
                <w:szCs w:val="18"/>
              </w:rPr>
              <w:t xml:space="preserve">jusqu'à 179 mm/an</w:t>
            </w:r>
          </w:p>
        </w:tc>
        <w:tc>
          <w:tcPr>
            <w:tcW w:type="dxa" w:w="3496"/>
            <w:shd w:fill="F0F0F0" w:val="clear"/>
            <w:tcMar>
              <w:top w:type="dxa" w:w="50"/>
              <w:left w:type="dxa" w:w="90"/>
              <w:bottom w:type="dxa" w:w="50"/>
              <w:right w:type="dxa" w:w="90"/>
            </w:tcMar>
          </w:tcPr>
          <w:p>
            <w:r>
              <w:rPr>
                <w:b w:val="false"/>
                <w:bCs w:val="false"/>
                <w:color w:val="000000"/>
                <w:sz w:val="18"/>
                <w:szCs w:val="18"/>
              </w:rPr>
              <w:t xml:space="preserve">Paires dominées par la rampe</w:t>
            </w:r>
          </w:p>
        </w:tc>
      </w:tr>
      <w:tr>
        <w:trPr>
          <w:tblHeader w:val="false"/>
        </w:trPr>
        <w:tc>
          <w:tcPr>
            <w:tcW w:type="dxa" w:w="3128"/>
            <w:tcMar>
              <w:top w:type="dxa" w:w="50"/>
              <w:left w:type="dxa" w:w="90"/>
              <w:bottom w:type="dxa" w:w="50"/>
              <w:right w:type="dxa" w:w="90"/>
            </w:tcMar>
          </w:tcPr>
          <w:p>
            <w:r>
              <w:rPr>
                <w:b w:val="false"/>
                <w:bCs w:val="false"/>
                <w:color w:val="000000"/>
                <w:sz w:val="18"/>
                <w:szCs w:val="18"/>
              </w:rPr>
              <w:t xml:space="preserve">Paires de 2 ans : signes</w:t>
            </w:r>
          </w:p>
        </w:tc>
        <w:tc>
          <w:tcPr>
            <w:tcW w:type="dxa" w:w="2576"/>
            <w:tcMar>
              <w:top w:type="dxa" w:w="50"/>
              <w:left w:type="dxa" w:w="90"/>
              <w:bottom w:type="dxa" w:w="50"/>
              <w:right w:type="dxa" w:w="90"/>
            </w:tcMar>
          </w:tcPr>
          <w:p>
            <w:r>
              <w:rPr>
                <w:b w:val="false"/>
                <w:bCs w:val="false"/>
                <w:color w:val="000000"/>
                <w:sz w:val="18"/>
                <w:szCs w:val="18"/>
              </w:rPr>
              <w:t xml:space="preserve">+7.4 / −10.7 / −28.9 mm/an</w:t>
            </w:r>
          </w:p>
        </w:tc>
        <w:tc>
          <w:tcPr>
            <w:tcW w:type="dxa" w:w="3496"/>
            <w:tcMar>
              <w:top w:type="dxa" w:w="50"/>
              <w:left w:type="dxa" w:w="90"/>
              <w:bottom w:type="dxa" w:w="50"/>
              <w:right w:type="dxa" w:w="90"/>
            </w:tcMar>
          </w:tcPr>
          <w:p>
            <w:r>
              <w:rPr>
                <w:b w:val="false"/>
                <w:bCs w:val="false"/>
                <w:color w:val="000000"/>
                <w:sz w:val="18"/>
                <w:szCs w:val="18"/>
              </w:rPr>
              <w:t xml:space="preserve">Contradiction → erreurs de déroulement</w:t>
            </w:r>
          </w:p>
        </w:tc>
      </w:tr>
      <w:tr>
        <w:trPr>
          <w:tblHeader w:val="false"/>
        </w:trPr>
        <w:tc>
          <w:tcPr>
            <w:tcW w:type="dxa" w:w="3128"/>
            <w:shd w:fill="F0F0F0" w:val="clear"/>
            <w:tcMar>
              <w:top w:type="dxa" w:w="50"/>
              <w:left w:type="dxa" w:w="90"/>
              <w:bottom w:type="dxa" w:w="50"/>
              <w:right w:type="dxa" w:w="90"/>
            </w:tcMar>
          </w:tcPr>
          <w:p>
            <w:r>
              <w:rPr>
                <w:b w:val="false"/>
                <w:bCs w:val="false"/>
                <w:color w:val="000000"/>
                <w:sz w:val="18"/>
                <w:szCs w:val="18"/>
              </w:rPr>
              <w:t xml:space="preserve">Classes stables (1–2)</w:t>
            </w:r>
          </w:p>
        </w:tc>
        <w:tc>
          <w:tcPr>
            <w:tcW w:type="dxa" w:w="2576"/>
            <w:shd w:fill="F0F0F0" w:val="clear"/>
            <w:tcMar>
              <w:top w:type="dxa" w:w="50"/>
              <w:left w:type="dxa" w:w="90"/>
              <w:bottom w:type="dxa" w:w="50"/>
              <w:right w:type="dxa" w:w="90"/>
            </w:tcMar>
          </w:tcPr>
          <w:p>
            <w:r>
              <w:rPr>
                <w:b w:val="false"/>
                <w:bCs w:val="false"/>
                <w:color w:val="000000"/>
                <w:sz w:val="18"/>
                <w:szCs w:val="18"/>
              </w:rPr>
              <w:t xml:space="preserve">≈ 0 (±1–2 mm/an)</w:t>
            </w:r>
          </w:p>
        </w:tc>
        <w:tc>
          <w:tcPr>
            <w:tcW w:type="dxa" w:w="3496"/>
            <w:shd w:fill="F0F0F0" w:val="clear"/>
            <w:tcMar>
              <w:top w:type="dxa" w:w="50"/>
              <w:left w:type="dxa" w:w="90"/>
              <w:bottom w:type="dxa" w:w="50"/>
              <w:right w:type="dxa" w:w="90"/>
            </w:tcMar>
          </w:tcPr>
          <w:p>
            <w:r>
              <w:rPr>
                <w:b w:val="false"/>
                <w:bCs w:val="false"/>
                <w:color w:val="000000"/>
                <w:sz w:val="18"/>
                <w:szCs w:val="18"/>
              </w:rPr>
              <w:t xml:space="preserve">Référencement/deramp OK</w:t>
            </w:r>
          </w:p>
        </w:tc>
      </w:tr>
    </w:tbl>
    <w:p>
      <w:pPr>
        <w:pBdr>
          <w:left w:val="single" w:color="2E7D6B" w:sz="18" w:space="10"/>
        </w:pBdr>
        <w:spacing w:after="200" w:before="120"/>
      </w:pPr>
      <w:r>
        <w:rPr>
          <w:b/>
          <w:bCs/>
        </w:rPr>
        <w:t xml:space="preserve">Verdict Pipeline B : </w:t>
      </w:r>
      <w:r>
        <w:t xml:space="preserve">le taux net annuel est non distinguable de zéro (−4.5 ± 18.9 mm/an). Les deux estimateurs indépendants concordent, mais sur une valeur noyée dans le bruit. C'est le meilleur résultat InSAR possible ici — et il confirme la prédiction du §1 : un fen flottant préservé ne présente pas de subsidence nette détectable.</w:t>
      </w:r>
    </w:p>
    <w:p>
      <w:r>
        <w:br w:type="page"/>
      </w:r>
    </w:p>
    <w:p>
      <w:pPr>
        <w:pStyle w:val="Heading1"/>
        <w:spacing w:after="200" w:before="400"/>
      </w:pPr>
      <w:r>
        <w:t xml:space="preserve">7. Analyse first-principles : pourquoi la bande C ne PEUT PAS mesurer le vertical ici</w:t>
      </w:r>
    </w:p>
    <w:p>
      <w:pPr>
        <w:spacing w:after="120"/>
      </w:pPr>
      <w:r>
        <w:t xml:space="preserve">La question n'est pas « comment mieux traiter l'InSAR ? » mais « la grandeur cherchée est-elle observable par ce capteur ? ». Revenons à ce que l'InSAR mesure réellement : le changement de trajet radar (range) au centre de phase de la cellule de résolution. Pour que ce changement égale le mouvement du sol, il faut trois conditions — toutes violées à Rzecin.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60"/>
        <w:gridCol w:w="3864"/>
        <w:gridCol w:w="2576"/>
      </w:tblGrid>
      <w:tr>
        <w:trPr>
          <w:tblHeader/>
        </w:trPr>
        <w:tc>
          <w:tcPr>
            <w:tcW w:type="dxa" w:w="2760"/>
            <w:shd w:fill="B00020" w:val="clear"/>
            <w:tcMar>
              <w:top w:type="dxa" w:w="50"/>
              <w:left w:type="dxa" w:w="90"/>
              <w:bottom w:type="dxa" w:w="50"/>
              <w:right w:type="dxa" w:w="90"/>
            </w:tcMar>
          </w:tcPr>
          <w:p>
            <w:r>
              <w:rPr>
                <w:b/>
                <w:bCs/>
                <w:color w:val="FFFFFF"/>
                <w:sz w:val="18"/>
                <w:szCs w:val="18"/>
              </w:rPr>
              <w:t xml:space="preserve">Condition nécessaire</w:t>
            </w:r>
          </w:p>
        </w:tc>
        <w:tc>
          <w:tcPr>
            <w:tcW w:type="dxa" w:w="3864"/>
            <w:shd w:fill="B00020" w:val="clear"/>
            <w:tcMar>
              <w:top w:type="dxa" w:w="50"/>
              <w:left w:type="dxa" w:w="90"/>
              <w:bottom w:type="dxa" w:w="50"/>
              <w:right w:type="dxa" w:w="90"/>
            </w:tcMar>
          </w:tcPr>
          <w:p>
            <w:r>
              <w:rPr>
                <w:b/>
                <w:bCs/>
                <w:color w:val="FFFFFF"/>
                <w:sz w:val="18"/>
                <w:szCs w:val="18"/>
              </w:rPr>
              <w:t xml:space="preserve">État à Rzecin</w:t>
            </w:r>
          </w:p>
        </w:tc>
        <w:tc>
          <w:tcPr>
            <w:tcW w:type="dxa" w:w="2576"/>
            <w:shd w:fill="B00020" w:val="clear"/>
            <w:tcMar>
              <w:top w:type="dxa" w:w="50"/>
              <w:left w:type="dxa" w:w="90"/>
              <w:bottom w:type="dxa" w:w="50"/>
              <w:right w:type="dxa" w:w="90"/>
            </w:tcMar>
          </w:tcPr>
          <w:p>
            <w:r>
              <w:rPr>
                <w:b/>
                <w:bCs/>
                <w:color w:val="FFFFFF"/>
                <w:sz w:val="18"/>
                <w:szCs w:val="18"/>
              </w:rPr>
              <w:t xml:space="preserve">Conséquence</w:t>
            </w:r>
          </w:p>
        </w:tc>
      </w:tr>
      <w:tr>
        <w:trPr>
          <w:tblHeader w:val="false"/>
        </w:trPr>
        <w:tc>
          <w:tcPr>
            <w:tcW w:type="dxa" w:w="2760"/>
            <w:tcMar>
              <w:top w:type="dxa" w:w="50"/>
              <w:left w:type="dxa" w:w="90"/>
              <w:bottom w:type="dxa" w:w="50"/>
              <w:right w:type="dxa" w:w="90"/>
            </w:tcMar>
          </w:tcPr>
          <w:p>
            <w:r>
              <w:rPr>
                <w:b w:val="false"/>
                <w:bCs w:val="false"/>
                <w:color w:val="000000"/>
                <w:sz w:val="18"/>
                <w:szCs w:val="18"/>
              </w:rPr>
              <w:t xml:space="preserve">Diffuseurs stables/cohérents entre deux dates</w:t>
            </w:r>
          </w:p>
        </w:tc>
        <w:tc>
          <w:tcPr>
            <w:tcW w:type="dxa" w:w="3864"/>
            <w:tcMar>
              <w:top w:type="dxa" w:w="50"/>
              <w:left w:type="dxa" w:w="90"/>
              <w:bottom w:type="dxa" w:w="50"/>
              <w:right w:type="dxa" w:w="90"/>
            </w:tcMar>
          </w:tcPr>
          <w:p>
            <w:r>
              <w:rPr>
                <w:b w:val="false"/>
                <w:bCs w:val="false"/>
                <w:color w:val="000000"/>
                <w:sz w:val="18"/>
                <w:szCs w:val="18"/>
              </w:rPr>
              <w:t xml:space="preserve">Eau libre = spéculaire ; végétation émergente = double-bounce variable</w:t>
            </w:r>
          </w:p>
        </w:tc>
        <w:tc>
          <w:tcPr>
            <w:tcW w:type="dxa" w:w="2576"/>
            <w:tcMar>
              <w:top w:type="dxa" w:w="50"/>
              <w:left w:type="dxa" w:w="90"/>
              <w:bottom w:type="dxa" w:w="50"/>
              <w:right w:type="dxa" w:w="90"/>
            </w:tcMar>
          </w:tcPr>
          <w:p>
            <w:r>
              <w:rPr>
                <w:b w:val="false"/>
                <w:bCs w:val="false"/>
                <w:color w:val="000000"/>
                <w:sz w:val="18"/>
                <w:szCs w:val="18"/>
              </w:rPr>
              <w:t xml:space="preserve">Décorrélation en jours</w:t>
            </w:r>
          </w:p>
        </w:tc>
      </w:tr>
      <w:tr>
        <w:trPr>
          <w:tblHeader w:val="false"/>
        </w:trPr>
        <w:tc>
          <w:tcPr>
            <w:tcW w:type="dxa" w:w="2760"/>
            <w:shd w:fill="F0F0F0" w:val="clear"/>
            <w:tcMar>
              <w:top w:type="dxa" w:w="50"/>
              <w:left w:type="dxa" w:w="90"/>
              <w:bottom w:type="dxa" w:w="50"/>
              <w:right w:type="dxa" w:w="90"/>
            </w:tcMar>
          </w:tcPr>
          <w:p>
            <w:r>
              <w:rPr>
                <w:b w:val="false"/>
                <w:bCs w:val="false"/>
                <w:color w:val="000000"/>
                <w:sz w:val="18"/>
                <w:szCs w:val="18"/>
              </w:rPr>
              <w:t xml:space="preserve">Centre de phase à hauteur physique fixe = surface tourbeuse</w:t>
            </w:r>
          </w:p>
        </w:tc>
        <w:tc>
          <w:tcPr>
            <w:tcW w:type="dxa" w:w="3864"/>
            <w:shd w:fill="F0F0F0" w:val="clear"/>
            <w:tcMar>
              <w:top w:type="dxa" w:w="50"/>
              <w:left w:type="dxa" w:w="90"/>
              <w:bottom w:type="dxa" w:w="50"/>
              <w:right w:type="dxa" w:w="90"/>
            </w:tcMar>
          </w:tcPr>
          <w:p>
            <w:r>
              <w:rPr>
                <w:b w:val="false"/>
                <w:bCs w:val="false"/>
                <w:color w:val="000000"/>
                <w:sz w:val="18"/>
                <w:szCs w:val="18"/>
              </w:rPr>
              <w:t xml:space="preserve">Sur végétation inondée, le centre de phase est le double-bounce eau-tige, il bouge avec le niveau d'eau et la biomasse</w:t>
            </w:r>
          </w:p>
        </w:tc>
        <w:tc>
          <w:tcPr>
            <w:tcW w:type="dxa" w:w="2576"/>
            <w:shd w:fill="F0F0F0" w:val="clear"/>
            <w:tcMar>
              <w:top w:type="dxa" w:w="50"/>
              <w:left w:type="dxa" w:w="90"/>
              <w:bottom w:type="dxa" w:w="50"/>
              <w:right w:type="dxa" w:w="90"/>
            </w:tcMar>
          </w:tcPr>
          <w:p>
            <w:r>
              <w:rPr>
                <w:b w:val="false"/>
                <w:bCs w:val="false"/>
                <w:color w:val="000000"/>
                <w:sz w:val="18"/>
                <w:szCs w:val="18"/>
              </w:rPr>
              <w:t xml:space="preserve">Le « déplacement » n'est PAS le sol</w:t>
            </w:r>
          </w:p>
        </w:tc>
      </w:tr>
      <w:tr>
        <w:trPr>
          <w:tblHeader w:val="false"/>
        </w:trPr>
        <w:tc>
          <w:tcPr>
            <w:tcW w:type="dxa" w:w="2760"/>
            <w:tcMar>
              <w:top w:type="dxa" w:w="50"/>
              <w:left w:type="dxa" w:w="90"/>
              <w:bottom w:type="dxa" w:w="50"/>
              <w:right w:type="dxa" w:w="90"/>
            </w:tcMar>
          </w:tcPr>
          <w:p>
            <w:r>
              <w:rPr>
                <w:b w:val="false"/>
                <w:bCs w:val="false"/>
                <w:color w:val="000000"/>
                <w:sz w:val="18"/>
                <w:szCs w:val="18"/>
              </w:rPr>
              <w:t xml:space="preserve">Contributions atmosphériques/orbitales retirées</w:t>
            </w:r>
          </w:p>
        </w:tc>
        <w:tc>
          <w:tcPr>
            <w:tcW w:type="dxa" w:w="3864"/>
            <w:tcMar>
              <w:top w:type="dxa" w:w="50"/>
              <w:left w:type="dxa" w:w="90"/>
              <w:bottom w:type="dxa" w:w="50"/>
              <w:right w:type="dxa" w:w="90"/>
            </w:tcMar>
          </w:tcPr>
          <w:p>
            <w:r>
              <w:rPr>
                <w:b w:val="false"/>
                <w:bCs w:val="false"/>
                <w:color w:val="000000"/>
                <w:sz w:val="18"/>
                <w:szCs w:val="18"/>
              </w:rPr>
              <w:t xml:space="preserve">Rampes résiduelles jusqu'à 179 mm/an par paire</w:t>
            </w:r>
          </w:p>
        </w:tc>
        <w:tc>
          <w:tcPr>
            <w:tcW w:type="dxa" w:w="2576"/>
            <w:tcMar>
              <w:top w:type="dxa" w:w="50"/>
              <w:left w:type="dxa" w:w="90"/>
              <w:bottom w:type="dxa" w:w="50"/>
              <w:right w:type="dxa" w:w="90"/>
            </w:tcMar>
          </w:tcPr>
          <w:p>
            <w:r>
              <w:rPr>
                <w:b w:val="false"/>
                <w:bCs w:val="false"/>
                <w:color w:val="000000"/>
                <w:sz w:val="18"/>
                <w:szCs w:val="18"/>
              </w:rPr>
              <w:t xml:space="preserve">Signal noyé</w:t>
            </w:r>
          </w:p>
        </w:tc>
      </w:tr>
    </w:tbl>
    <w:p>
      <w:pPr>
        <w:pStyle w:val="Heading2"/>
        <w:spacing w:after="150" w:before="300"/>
      </w:pPr>
      <w:r>
        <w:t xml:space="preserve">7.1 Le point clé négligé : trois signaux confondus</w:t>
      </w:r>
    </w:p>
    <w:p>
      <w:pPr>
        <w:spacing w:after="120"/>
      </w:pPr>
      <w:r>
        <w:t xml:space="preserve">La phase C-band au-dessus de ce site mélange indissociablement trois contributions :</w:t>
      </w:r>
    </w:p>
    <w:p>
      <w:pPr>
        <w:pStyle w:val="ListParagraph"/>
        <w:numPr>
          <w:ilvl w:val="0"/>
          <w:numId w:val="1"/>
        </w:numPr>
        <w:spacing w:after="60"/>
      </w:pPr>
      <w:r>
        <w:t xml:space="preserve">(a) le déplacement vertical irréversible réel du sol tourbeux — ce que l'on veut — attendu minuscule (~mm/an) ;</w:t>
      </w:r>
    </w:p>
    <w:p>
      <w:pPr>
        <w:pStyle w:val="ListParagraph"/>
        <w:numPr>
          <w:ilvl w:val="0"/>
          <w:numId w:val="1"/>
        </w:numPr>
        <w:spacing w:after="60"/>
      </w:pPr>
      <w:r>
        <w:t xml:space="preserve">(b) la flottaison réversible du tapis (pilotée par la nappe) — potentiellement centimétrique en saisonnier ;</w:t>
      </w:r>
    </w:p>
    <w:p>
      <w:pPr>
        <w:pStyle w:val="ListParagraph"/>
        <w:numPr>
          <w:ilvl w:val="0"/>
          <w:numId w:val="1"/>
        </w:numPr>
        <w:spacing w:after="60"/>
      </w:pPr>
      <w:r>
        <w:t xml:space="preserve">(c) des artefacts de mécanisme de diffusion (niveau d'eau, biomasse, humidité diélectrique) qui ne sont PAS un mouvement du sol.</w:t>
      </w:r>
    </w:p>
    <w:p>
      <w:pPr>
        <w:pBdr>
          <w:left w:val="single" w:color="B00020" w:sz="18" w:space="10"/>
        </w:pBdr>
        <w:spacing w:after="200" w:before="120"/>
      </w:pPr>
      <w:r>
        <w:rPr>
          <w:b/>
          <w:bCs/>
        </w:rPr>
        <w:t xml:space="preserve">L'hypothèse implicite jamais vérifiée : </w:t>
      </w:r>
      <w:r>
        <w:t xml:space="preserve">nous avions supposé que le centre de phase InSAR est un point matériel de la surface tourbeuse. Sur un fen inondé/flottant, </w:t>
      </w:r>
      <w:r>
        <w:rPr>
          <w:b/>
          <w:bCs/>
        </w:rPr>
        <w:t xml:space="preserve">c'est faux</w:t>
      </w:r>
      <w:r>
        <w:t xml:space="preserve">. C'est l'hypothèse fondatrice qui manquait — et elle explique, mieux que tout réglage, pourquoi les paires annuelles changent de signe : chaque paire a capté un ÉTAT DE NAPPE différent entre les deux avrils, donc mesure une différence de niveau d'eau, pas une subsidence.</w:t>
      </w:r>
    </w:p>
    <w:p>
      <w:pPr>
        <w:spacing w:after="120"/>
      </w:pPr>
      <w:r>
        <w:t xml:space="preserve">Corollaire : « même phénologie en avril » ne garantit PAS « même niveau de nappe ». Deux avrils peuvent être phénologiquement comparables mais hydrologiquement différents. Le laser in situ peut tester cela directement.</w:t>
      </w:r>
    </w:p>
    <w:p>
      <w:pPr>
        <w:pStyle w:val="Heading2"/>
        <w:spacing w:after="150" w:before="300"/>
      </w:pPr>
      <w:r>
        <w:t xml:space="preserve">7.2 Reformulation du problème</w:t>
      </w:r>
    </w:p>
    <w:p>
      <w:pPr>
        <w:spacing w:after="120"/>
      </w:pPr>
      <w:r>
        <w:t xml:space="preserve">Sur ce site, « déplacement vertical » n'est pas une grandeur unique : il faut séparer la composante réversible (respiration = f(nappe)) de la composante nette irréversible (subsidence). Le produit scientifiquement pertinent n'est donc pas une carte InSAR brute, mais le TREND NET après retrait de la motion pilotée par la nappe — ce qui exige un modèle hydrologique, pas seulement de l'interférométrie.</w:t>
      </w:r>
    </w:p>
    <w:p>
      <w:pPr>
        <w:pBdr>
          <w:left w:val="single" w:color="9A6700" w:sz="18" w:space="10"/>
        </w:pBdr>
        <w:spacing w:after="200" w:before="120"/>
      </w:pPr>
      <w:r>
        <w:rPr>
          <w:b/>
          <w:bCs/>
        </w:rPr>
        <w:t xml:space="preserve">Avertissement de rigueur : </w:t>
      </w:r>
      <w:r>
        <w:t xml:space="preserve">l'argument d'observabilité ci-dessus vaut spécifiquement pour les pixels INONDÉS (nappe au-dessus de la végétation). Il ne s'étend PAS à l'ensemble de la tourbière ni ne prouve que la bande C soit inutilisable ici — la littérature (§8) montre l'inverse sur tourbières non inondées. Statut : [INT] interprétation étayée sur les zones inondées, [HYP] non démontrée à l'échelle du site.</w:t>
      </w:r>
    </w:p>
    <w:p>
      <w:r>
        <w:br w:type="page"/>
      </w:r>
    </w:p>
    <w:p>
      <w:pPr>
        <w:pStyle w:val="Heading1"/>
        <w:spacing w:after="200" w:before="400"/>
      </w:pPr>
      <w:r>
        <w:t xml:space="preserve">8. Confrontation à la littérature internationale et niveaux de confiance</w:t>
      </w:r>
    </w:p>
    <w:p>
      <w:pPr>
        <w:spacing w:after="120"/>
      </w:pPr>
      <w:r>
        <w:t xml:space="preserve">Cette section soumet nos propres conclusions à réfutation. Convention d'étiquetage : [FAIT] observé/mesuré · [HYP] hypothèse · [INT] interprétation · [SPEC] spéculation. Une revue ciblant délibérément les travaux qui CONTREDISENT notre approche (et pas seulement ceux qui la confirment) impose de réviser plusieurs affirmations.</w:t>
      </w:r>
    </w:p>
    <w:p>
      <w:pPr>
        <w:pStyle w:val="Heading2"/>
        <w:spacing w:after="150" w:before="300"/>
      </w:pPr>
      <w:r>
        <w:t xml:space="preserve">8.1 Tableau de révision des conclusions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64"/>
        <w:gridCol w:w="3128"/>
        <w:gridCol w:w="2208"/>
      </w:tblGrid>
      <w:tr>
        <w:trPr>
          <w:tblHeader/>
        </w:trPr>
        <w:tc>
          <w:tcPr>
            <w:tcW w:type="dxa" w:w="3864"/>
            <w:shd w:fill="B00020" w:val="clear"/>
            <w:tcMar>
              <w:top w:type="dxa" w:w="50"/>
              <w:left w:type="dxa" w:w="90"/>
              <w:bottom w:type="dxa" w:w="50"/>
              <w:right w:type="dxa" w:w="90"/>
            </w:tcMar>
          </w:tcPr>
          <w:p>
            <w:r>
              <w:rPr>
                <w:b/>
                <w:bCs/>
                <w:color w:val="FFFFFF"/>
                <w:sz w:val="18"/>
                <w:szCs w:val="18"/>
              </w:rPr>
              <w:t xml:space="preserve">Conclusion de notre rapport</w:t>
            </w:r>
          </w:p>
        </w:tc>
        <w:tc>
          <w:tcPr>
            <w:tcW w:type="dxa" w:w="3128"/>
            <w:shd w:fill="B00020" w:val="clear"/>
            <w:tcMar>
              <w:top w:type="dxa" w:w="50"/>
              <w:left w:type="dxa" w:w="90"/>
              <w:bottom w:type="dxa" w:w="50"/>
              <w:right w:type="dxa" w:w="90"/>
            </w:tcMar>
          </w:tcPr>
          <w:p>
            <w:r>
              <w:rPr>
                <w:b/>
                <w:bCs/>
                <w:color w:val="FFFFFF"/>
                <w:sz w:val="18"/>
                <w:szCs w:val="18"/>
              </w:rPr>
              <w:t xml:space="preserve">Verdict après revue</w:t>
            </w:r>
          </w:p>
        </w:tc>
        <w:tc>
          <w:tcPr>
            <w:tcW w:type="dxa" w:w="2208"/>
            <w:shd w:fill="B00020" w:val="clear"/>
            <w:tcMar>
              <w:top w:type="dxa" w:w="50"/>
              <w:left w:type="dxa" w:w="90"/>
              <w:bottom w:type="dxa" w:w="50"/>
              <w:right w:type="dxa" w:w="90"/>
            </w:tcMar>
          </w:tcPr>
          <w:p>
            <w:r>
              <w:rPr>
                <w:b/>
                <w:bCs/>
                <w:color w:val="FFFFFF"/>
                <w:sz w:val="18"/>
                <w:szCs w:val="18"/>
              </w:rPr>
              <w:t xml:space="preserve">Confiance révisée</w:t>
            </w:r>
          </w:p>
        </w:tc>
      </w:tr>
      <w:tr>
        <w:trPr>
          <w:tblHeader w:val="false"/>
        </w:trPr>
        <w:tc>
          <w:tcPr>
            <w:tcW w:type="dxa" w:w="3864"/>
            <w:tcMar>
              <w:top w:type="dxa" w:w="50"/>
              <w:left w:type="dxa" w:w="90"/>
              <w:bottom w:type="dxa" w:w="50"/>
              <w:right w:type="dxa" w:w="90"/>
            </w:tcMar>
          </w:tcPr>
          <w:p>
            <w:r>
              <w:rPr>
                <w:b w:val="false"/>
                <w:bCs w:val="false"/>
                <w:color w:val="000000"/>
                <w:sz w:val="18"/>
                <w:szCs w:val="18"/>
              </w:rPr>
              <w:t xml:space="preserve">« L'InSAR C-band ne PEUT PAS mesurer le vertical sur tourbière »</w:t>
            </w:r>
          </w:p>
        </w:tc>
        <w:tc>
          <w:tcPr>
            <w:tcW w:type="dxa" w:w="3128"/>
            <w:tcMar>
              <w:top w:type="dxa" w:w="50"/>
              <w:left w:type="dxa" w:w="90"/>
              <w:bottom w:type="dxa" w:w="50"/>
              <w:right w:type="dxa" w:w="90"/>
            </w:tcMar>
          </w:tcPr>
          <w:p>
            <w:r>
              <w:rPr>
                <w:b w:val="false"/>
                <w:bCs w:val="false"/>
                <w:color w:val="000000"/>
                <w:sz w:val="18"/>
                <w:szCs w:val="18"/>
              </w:rPr>
              <w:t xml:space="preserve">RÉFUTÉE comme énoncé général</w:t>
            </w:r>
          </w:p>
        </w:tc>
        <w:tc>
          <w:tcPr>
            <w:tcW w:type="dxa" w:w="2208"/>
            <w:tcMar>
              <w:top w:type="dxa" w:w="50"/>
              <w:left w:type="dxa" w:w="90"/>
              <w:bottom w:type="dxa" w:w="50"/>
              <w:right w:type="dxa" w:w="90"/>
            </w:tcMar>
          </w:tcPr>
          <w:p>
            <w:r>
              <w:rPr>
                <w:b w:val="false"/>
                <w:bCs w:val="false"/>
                <w:color w:val="000000"/>
                <w:sz w:val="18"/>
                <w:szCs w:val="18"/>
              </w:rPr>
              <w:t xml:space="preserve">Faible → à retirer</w:t>
            </w:r>
          </w:p>
        </w:tc>
      </w:tr>
      <w:tr>
        <w:trPr>
          <w:tblHeader w:val="false"/>
        </w:trPr>
        <w:tc>
          <w:tcPr>
            <w:tcW w:type="dxa" w:w="3864"/>
            <w:shd w:fill="F0F0F0" w:val="clear"/>
            <w:tcMar>
              <w:top w:type="dxa" w:w="50"/>
              <w:left w:type="dxa" w:w="90"/>
              <w:bottom w:type="dxa" w:w="50"/>
              <w:right w:type="dxa" w:w="90"/>
            </w:tcMar>
          </w:tcPr>
          <w:p>
            <w:r>
              <w:rPr>
                <w:b w:val="false"/>
                <w:bCs w:val="false"/>
                <w:color w:val="000000"/>
                <w:sz w:val="18"/>
                <w:szCs w:val="18"/>
              </w:rPr>
              <w:t xml:space="preserve">« Notre échec est d'origine physique (bande C) »</w:t>
            </w:r>
          </w:p>
        </w:tc>
        <w:tc>
          <w:tcPr>
            <w:tcW w:type="dxa" w:w="3128"/>
            <w:shd w:fill="F0F0F0" w:val="clear"/>
            <w:tcMar>
              <w:top w:type="dxa" w:w="50"/>
              <w:left w:type="dxa" w:w="90"/>
              <w:bottom w:type="dxa" w:w="50"/>
              <w:right w:type="dxa" w:w="90"/>
            </w:tcMar>
          </w:tcPr>
          <w:p>
            <w:r>
              <w:rPr>
                <w:b w:val="false"/>
                <w:bCs w:val="false"/>
                <w:color w:val="000000"/>
                <w:sz w:val="18"/>
                <w:szCs w:val="18"/>
              </w:rPr>
              <w:t xml:space="preserve">CONFONDUE avec nos choix de méthode</w:t>
            </w:r>
          </w:p>
        </w:tc>
        <w:tc>
          <w:tcPr>
            <w:tcW w:type="dxa" w:w="2208"/>
            <w:shd w:fill="F0F0F0" w:val="clear"/>
            <w:tcMar>
              <w:top w:type="dxa" w:w="50"/>
              <w:left w:type="dxa" w:w="90"/>
              <w:bottom w:type="dxa" w:w="50"/>
              <w:right w:type="dxa" w:w="90"/>
            </w:tcMar>
          </w:tcPr>
          <w:p>
            <w:r>
              <w:rPr>
                <w:b w:val="false"/>
                <w:bCs w:val="false"/>
                <w:color w:val="000000"/>
                <w:sz w:val="18"/>
                <w:szCs w:val="18"/>
              </w:rPr>
              <w:t xml:space="preserve">Faible-modérée</w:t>
            </w:r>
          </w:p>
        </w:tc>
      </w:tr>
      <w:tr>
        <w:trPr>
          <w:tblHeader w:val="false"/>
        </w:trPr>
        <w:tc>
          <w:tcPr>
            <w:tcW w:type="dxa" w:w="3864"/>
            <w:tcMar>
              <w:top w:type="dxa" w:w="50"/>
              <w:left w:type="dxa" w:w="90"/>
              <w:bottom w:type="dxa" w:w="50"/>
              <w:right w:type="dxa" w:w="90"/>
            </w:tcMar>
          </w:tcPr>
          <w:p>
            <w:r>
              <w:rPr>
                <w:b w:val="false"/>
                <w:bCs w:val="false"/>
                <w:color w:val="000000"/>
                <w:sz w:val="18"/>
                <w:szCs w:val="18"/>
              </w:rPr>
              <w:t xml:space="preserve">« Le centre de phase sur végétation inondée n'est pas le sol »</w:t>
            </w:r>
          </w:p>
        </w:tc>
        <w:tc>
          <w:tcPr>
            <w:tcW w:type="dxa" w:w="3128"/>
            <w:tcMar>
              <w:top w:type="dxa" w:w="50"/>
              <w:left w:type="dxa" w:w="90"/>
              <w:bottom w:type="dxa" w:w="50"/>
              <w:right w:type="dxa" w:w="90"/>
            </w:tcMar>
          </w:tcPr>
          <w:p>
            <w:r>
              <w:rPr>
                <w:b w:val="false"/>
                <w:bCs w:val="false"/>
                <w:color w:val="000000"/>
                <w:sz w:val="18"/>
                <w:szCs w:val="18"/>
              </w:rPr>
              <w:t xml:space="preserve">SOUTENUE mais à nuancer (VV)</w:t>
            </w:r>
          </w:p>
        </w:tc>
        <w:tc>
          <w:tcPr>
            <w:tcW w:type="dxa" w:w="2208"/>
            <w:tcMar>
              <w:top w:type="dxa" w:w="50"/>
              <w:left w:type="dxa" w:w="90"/>
              <w:bottom w:type="dxa" w:w="50"/>
              <w:right w:type="dxa" w:w="90"/>
            </w:tcMar>
          </w:tcPr>
          <w:p>
            <w:r>
              <w:rPr>
                <w:b w:val="false"/>
                <w:bCs w:val="false"/>
                <w:color w:val="000000"/>
                <w:sz w:val="18"/>
                <w:szCs w:val="18"/>
              </w:rPr>
              <w:t xml:space="preserve">Élevée</w:t>
            </w:r>
          </w:p>
        </w:tc>
      </w:tr>
      <w:tr>
        <w:trPr>
          <w:tblHeader w:val="false"/>
        </w:trPr>
        <w:tc>
          <w:tcPr>
            <w:tcW w:type="dxa" w:w="3864"/>
            <w:shd w:fill="F0F0F0" w:val="clear"/>
            <w:tcMar>
              <w:top w:type="dxa" w:w="50"/>
              <w:left w:type="dxa" w:w="90"/>
              <w:bottom w:type="dxa" w:w="50"/>
              <w:right w:type="dxa" w:w="90"/>
            </w:tcMar>
          </w:tcPr>
          <w:p>
            <w:r>
              <w:rPr>
                <w:b w:val="false"/>
                <w:bCs w:val="false"/>
                <w:color w:val="000000"/>
                <w:sz w:val="18"/>
                <w:szCs w:val="18"/>
              </w:rPr>
              <w:t xml:space="preserve">« Le taux net à Rzecin est ≈ 0 »</w:t>
            </w:r>
          </w:p>
        </w:tc>
        <w:tc>
          <w:tcPr>
            <w:tcW w:type="dxa" w:w="3128"/>
            <w:shd w:fill="F0F0F0" w:val="clear"/>
            <w:tcMar>
              <w:top w:type="dxa" w:w="50"/>
              <w:left w:type="dxa" w:w="90"/>
              <w:bottom w:type="dxa" w:w="50"/>
              <w:right w:type="dxa" w:w="90"/>
            </w:tcMar>
          </w:tcPr>
          <w:p>
            <w:r>
              <w:rPr>
                <w:b w:val="false"/>
                <w:bCs w:val="false"/>
                <w:color w:val="000000"/>
                <w:sz w:val="18"/>
                <w:szCs w:val="18"/>
              </w:rPr>
              <w:t xml:space="preserve">Plausible, NON démontré (SNR)</w:t>
            </w:r>
          </w:p>
        </w:tc>
        <w:tc>
          <w:tcPr>
            <w:tcW w:type="dxa" w:w="2208"/>
            <w:shd w:fill="F0F0F0" w:val="clear"/>
            <w:tcMar>
              <w:top w:type="dxa" w:w="50"/>
              <w:left w:type="dxa" w:w="90"/>
              <w:bottom w:type="dxa" w:w="50"/>
              <w:right w:type="dxa" w:w="90"/>
            </w:tcMar>
          </w:tcPr>
          <w:p>
            <w:r>
              <w:rPr>
                <w:b w:val="false"/>
                <w:bCs w:val="false"/>
                <w:color w:val="000000"/>
                <w:sz w:val="18"/>
                <w:szCs w:val="18"/>
              </w:rPr>
              <w:t xml:space="preserve">Modérée</w:t>
            </w:r>
          </w:p>
        </w:tc>
      </w:tr>
      <w:tr>
        <w:trPr>
          <w:tblHeader w:val="false"/>
        </w:trPr>
        <w:tc>
          <w:tcPr>
            <w:tcW w:type="dxa" w:w="3864"/>
            <w:tcMar>
              <w:top w:type="dxa" w:w="50"/>
              <w:left w:type="dxa" w:w="90"/>
              <w:bottom w:type="dxa" w:w="50"/>
              <w:right w:type="dxa" w:w="90"/>
            </w:tcMar>
          </w:tcPr>
          <w:p>
            <w:r>
              <w:rPr>
                <w:b w:val="false"/>
                <w:bCs w:val="false"/>
                <w:color w:val="000000"/>
                <w:sz w:val="18"/>
                <w:szCs w:val="18"/>
              </w:rPr>
              <w:t xml:space="preserve">« S1/S2 = covariable hydrologique / nappe »</w:t>
            </w:r>
          </w:p>
        </w:tc>
        <w:tc>
          <w:tcPr>
            <w:tcW w:type="dxa" w:w="3128"/>
            <w:tcMar>
              <w:top w:type="dxa" w:w="50"/>
              <w:left w:type="dxa" w:w="90"/>
              <w:bottom w:type="dxa" w:w="50"/>
              <w:right w:type="dxa" w:w="90"/>
            </w:tcMar>
          </w:tcPr>
          <w:p>
            <w:r>
              <w:rPr>
                <w:b w:val="false"/>
                <w:bCs w:val="false"/>
                <w:color w:val="000000"/>
                <w:sz w:val="18"/>
                <w:szCs w:val="18"/>
              </w:rPr>
              <w:t xml:space="preserve">FORTEMENT SOUTENUE</w:t>
            </w:r>
          </w:p>
        </w:tc>
        <w:tc>
          <w:tcPr>
            <w:tcW w:type="dxa" w:w="2208"/>
            <w:tcMar>
              <w:top w:type="dxa" w:w="50"/>
              <w:left w:type="dxa" w:w="90"/>
              <w:bottom w:type="dxa" w:w="50"/>
              <w:right w:type="dxa" w:w="90"/>
            </w:tcMar>
          </w:tcPr>
          <w:p>
            <w:r>
              <w:rPr>
                <w:b w:val="false"/>
                <w:bCs w:val="false"/>
                <w:color w:val="000000"/>
                <w:sz w:val="18"/>
                <w:szCs w:val="18"/>
              </w:rPr>
              <w:t xml:space="preserve">Élevée</w:t>
            </w:r>
          </w:p>
        </w:tc>
      </w:tr>
      <w:tr>
        <w:trPr>
          <w:tblHeader w:val="false"/>
        </w:trPr>
        <w:tc>
          <w:tcPr>
            <w:tcW w:type="dxa" w:w="3864"/>
            <w:shd w:fill="F0F0F0" w:val="clear"/>
            <w:tcMar>
              <w:top w:type="dxa" w:w="50"/>
              <w:left w:type="dxa" w:w="90"/>
              <w:bottom w:type="dxa" w:w="50"/>
              <w:right w:type="dxa" w:w="90"/>
            </w:tcMar>
          </w:tcPr>
          <w:p>
            <w:r>
              <w:rPr>
                <w:b w:val="false"/>
                <w:bCs w:val="false"/>
                <w:color w:val="000000"/>
                <w:sz w:val="18"/>
                <w:szCs w:val="18"/>
              </w:rPr>
              <w:t xml:space="preserve">« La bande L est la solution physique »</w:t>
            </w:r>
          </w:p>
        </w:tc>
        <w:tc>
          <w:tcPr>
            <w:tcW w:type="dxa" w:w="3128"/>
            <w:shd w:fill="F0F0F0" w:val="clear"/>
            <w:tcMar>
              <w:top w:type="dxa" w:w="50"/>
              <w:left w:type="dxa" w:w="90"/>
              <w:bottom w:type="dxa" w:w="50"/>
              <w:right w:type="dxa" w:w="90"/>
            </w:tcMar>
          </w:tcPr>
          <w:p>
            <w:r>
              <w:rPr>
                <w:b w:val="false"/>
                <w:bCs w:val="false"/>
                <w:color w:val="000000"/>
                <w:sz w:val="18"/>
                <w:szCs w:val="18"/>
              </w:rPr>
              <w:t xml:space="preserve">Soutenue, bénéfice à quantifier</w:t>
            </w:r>
          </w:p>
        </w:tc>
        <w:tc>
          <w:tcPr>
            <w:tcW w:type="dxa" w:w="2208"/>
            <w:shd w:fill="F0F0F0" w:val="clear"/>
            <w:tcMar>
              <w:top w:type="dxa" w:w="50"/>
              <w:left w:type="dxa" w:w="90"/>
              <w:bottom w:type="dxa" w:w="50"/>
              <w:right w:type="dxa" w:w="90"/>
            </w:tcMar>
          </w:tcPr>
          <w:p>
            <w:r>
              <w:rPr>
                <w:b w:val="false"/>
                <w:bCs w:val="false"/>
                <w:color w:val="000000"/>
                <w:sz w:val="18"/>
                <w:szCs w:val="18"/>
              </w:rPr>
              <w:t xml:space="preserve">Modérée-élevée</w:t>
            </w:r>
          </w:p>
        </w:tc>
      </w:tr>
    </w:tbl>
    <w:p>
      <w:pPr>
        <w:pStyle w:val="Heading2"/>
        <w:spacing w:after="150" w:before="300"/>
      </w:pPr>
      <w:r>
        <w:t xml:space="preserve">8.2 La contre-preuve majeure : l'InSAR C-band mesure la respiration des tourbières</w:t>
      </w:r>
    </w:p>
    <w:p>
      <w:pPr>
        <w:spacing w:after="120"/>
      </w:pPr>
      <w:r>
        <w:t xml:space="preserve">[FAIT] Hrysiewicz et al. (2024, Remote Sensing of Environment 291) appliquent l'InSAR Sentinel-1 C-band à deux tourbières hautes tempérées (Cors Fochno, Cors Caron, Pays de Galles), validé par caméras in situ sub-millimétriques : corrélation de Pearson 0.8–0.9 ; 76 % des écarts &lt; ±5 mm, 93 % &lt; ±10 mm ; RMSE multi-annuel ~7 mm/an (~3.5 mm en individuel). La méthode récupère les oscillations annuelles de surface de 10–40 mm — la « respiration » que nous avions qualifiée de bruit confondant.</w:t>
      </w:r>
    </w:p>
    <w:p>
      <w:pPr>
        <w:spacing w:after="120"/>
      </w:pPr>
      <w:r>
        <w:t xml:space="preserve">[FAIT] Des SBAS C-band réussissent aussi sur tourbières tropicales (seuil de cohérence 0.25, ~2/3 de couverture ; performance comparable à l'ALOS L-band). [INT] Conclusion : notre affirmation « C-band impossible » relève d'une sur-généralisation d'un échec sur un site/une configuration.</w:t>
      </w:r>
    </w:p>
    <w:p>
      <w:pPr>
        <w:pBdr>
          <w:left w:val="single" w:color="B00020" w:sz="18" w:space="10"/>
        </w:pBdr>
        <w:spacing w:after="200" w:before="120"/>
      </w:pPr>
      <w:r>
        <w:rPr>
          <w:b/>
          <w:bCs/>
        </w:rPr>
        <w:t xml:space="preserve">Différence de méthode que nous avions ignorée (décisive) : </w:t>
      </w:r>
      <w:r>
        <w:t xml:space="preserve">[FAIT] Hrysiewicz combine des réseaux à lignes de base temporelles LONGUES ET courtes. [FAIT] Notre configuration n'a utilisé que des paires ≤ 48 j (max_temporal_baseline_days: 48). Nous n'avons jamais testé le réseau long-baseline qui fait le succès des autres. [INT] Une partie de notre « limite physique » pourrait n'être qu'une limite de conception de réseau.</w:t>
      </w:r>
    </w:p>
    <w:p>
      <w:pPr>
        <w:pStyle w:val="Heading2"/>
        <w:spacing w:after="150" w:before="300"/>
      </w:pPr>
      <w:r>
        <w:t xml:space="preserve">8.3 La différence de site : bog non inondé vs fen inondé (l'hypothèse à tester)</w:t>
      </w:r>
    </w:p>
    <w:p>
      <w:pPr>
        <w:spacing w:after="120"/>
      </w:pPr>
      <w:r>
        <w:t xml:space="preserve">[FAIT] Les sites où l'InSAR C-band réussit sont des bogs ombrotrophes (nappe SOUS la surface, tapis non inondé). Rzecin est un fen transitionnel minerotrophe à nappe affleurante/émergente. [HYP] Le régime hydrologique (inondé vs non), et non la bande, serait le vrai discriminant — hypothèse testable (§8.6), non démontrée à ce stade.</w:t>
      </w:r>
    </w:p>
    <w:p>
      <w:pPr>
        <w:pStyle w:val="Heading2"/>
        <w:spacing w:after="150" w:before="300"/>
      </w:pPr>
      <w:r>
        <w:t xml:space="preserve">8.4 Le centre de phase : point solide, mais VV l'affaiblit</w:t>
      </w:r>
    </w:p>
    <w:p>
      <w:pPr>
        <w:spacing w:after="120"/>
      </w:pPr>
      <w:r>
        <w:t xml:space="preserve">[FAIT] Le champ mature du « wetland InSAR » (Wdowinski &amp; Hong ; Hong &amp; Wdowinski 2014, IEEE TGRS) établit que sur végétation émergente inondée, le double-bounce domine et l'InSAR mesure le niveau d'eau — confirmant que la phase n'est pas le sol. [FAIT] Mais « la végétation émergente augmente la cohérence en saison de croissance » contredit l'idée simple « inondation = décorrélation totale ». [FAIT] Surtout, le C-band en VV (notre polarisation) est MOINS sensible au double-bounce que le HH. [INT] À Rzecin en VV sur zones inondées : ni bon signal de niveau d'eau (VV faible en double-bounce), ni bon signal de sol (volume décorrélant) ; le HH aurait été préférable mais est indisponible sur cette trace (VV/VH). « Donc bruit pur » est trop fort : c'est un signal de niveau d'eau mal capté, pas du bruit.</w:t>
      </w:r>
    </w:p>
    <w:p>
      <w:pPr>
        <w:pStyle w:val="Heading2"/>
        <w:spacing w:after="150" w:before="300"/>
      </w:pPr>
      <w:r>
        <w:t xml:space="preserve">8.5 Le taux net ≈ 0 : non-détection, pas preuve d'absence</w:t>
      </w:r>
    </w:p>
    <w:p>
      <w:pPr>
        <w:spacing w:after="120"/>
      </w:pPr>
      <w:r>
        <w:t xml:space="preserve">[FAIT] Pipeline B : AOI médiane −4.5 mm/an, IQR ±18.9 mm/an. [INT] L'incertitude écrasant le signal, on ne peut distinguer statistiquement −4.5 mm/an ni de 0 ni de −14 mm/an (Biebrza). « Taux net non détectable avec cette méthode » : confiance élevée. « Taux net physiquement ≈ 0 » : confiance modérée-faible (absence de preuve ≠ preuve d'absence). [HYP] Biais possible : le deramp planaire peut amputer un vrai signal à grande longueur d'onde. [SPEC] Un fen alimenté par la nappe pourrait gonfler (signe opposé à Biebrza).</w:t>
      </w:r>
    </w:p>
    <w:p>
      <w:pPr>
        <w:pStyle w:val="Heading2"/>
        <w:spacing w:after="150" w:before="300"/>
      </w:pPr>
      <w:r>
        <w:t xml:space="preserve">8.6 Expériences décisives (avant toute affirmation forte)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60"/>
        <w:gridCol w:w="4140"/>
      </w:tblGrid>
      <w:tr>
        <w:trPr>
          <w:tblHeader/>
        </w:trPr>
        <w:tc>
          <w:tcPr>
            <w:tcW w:type="dxa" w:w="5060"/>
            <w:shd w:fill="2E7D6B" w:val="clear"/>
            <w:tcMar>
              <w:top w:type="dxa" w:w="50"/>
              <w:left w:type="dxa" w:w="90"/>
              <w:bottom w:type="dxa" w:w="50"/>
              <w:right w:type="dxa" w:w="90"/>
            </w:tcMar>
          </w:tcPr>
          <w:p>
            <w:r>
              <w:rPr>
                <w:b/>
                <w:bCs/>
                <w:color w:val="FFFFFF"/>
                <w:sz w:val="18"/>
                <w:szCs w:val="18"/>
              </w:rPr>
              <w:t xml:space="preserve">Expérience</w:t>
            </w:r>
          </w:p>
        </w:tc>
        <w:tc>
          <w:tcPr>
            <w:tcW w:type="dxa" w:w="4140"/>
            <w:shd w:fill="2E7D6B" w:val="clear"/>
            <w:tcMar>
              <w:top w:type="dxa" w:w="50"/>
              <w:left w:type="dxa" w:w="90"/>
              <w:bottom w:type="dxa" w:w="50"/>
              <w:right w:type="dxa" w:w="90"/>
            </w:tcMar>
          </w:tcPr>
          <w:p>
            <w:r>
              <w:rPr>
                <w:b/>
                <w:bCs/>
                <w:color w:val="FFFFFF"/>
                <w:sz w:val="18"/>
                <w:szCs w:val="18"/>
              </w:rPr>
              <w:t xml:space="preserve">Ce qu'elle falsifie/confirme</w:t>
            </w:r>
          </w:p>
        </w:tc>
      </w:tr>
      <w:tr>
        <w:trPr>
          <w:tblHeader w:val="false"/>
        </w:trPr>
        <w:tc>
          <w:tcPr>
            <w:tcW w:type="dxa" w:w="5060"/>
            <w:tcMar>
              <w:top w:type="dxa" w:w="50"/>
              <w:left w:type="dxa" w:w="90"/>
              <w:bottom w:type="dxa" w:w="50"/>
              <w:right w:type="dxa" w:w="90"/>
            </w:tcMar>
          </w:tcPr>
          <w:p>
            <w:r>
              <w:rPr>
                <w:b w:val="false"/>
                <w:bCs w:val="false"/>
                <w:color w:val="000000"/>
                <w:sz w:val="18"/>
                <w:szCs w:val="18"/>
              </w:rPr>
              <w:t xml:space="preserve">1. Réplication réseau long+court baseline (façon Hrysiewicz, hors MintPy)</w:t>
            </w:r>
          </w:p>
        </w:tc>
        <w:tc>
          <w:tcPr>
            <w:tcW w:type="dxa" w:w="4140"/>
            <w:tcMar>
              <w:top w:type="dxa" w:w="50"/>
              <w:left w:type="dxa" w:w="90"/>
              <w:bottom w:type="dxa" w:w="50"/>
              <w:right w:type="dxa" w:w="90"/>
            </w:tcMar>
          </w:tcPr>
          <w:p>
            <w:r>
              <w:rPr>
                <w:b w:val="false"/>
                <w:bCs w:val="false"/>
                <w:color w:val="000000"/>
                <w:sz w:val="18"/>
                <w:szCs w:val="18"/>
              </w:rPr>
              <w:t xml:space="preserve">Sépare cause-site de cause-méthode (§8.2)</w:t>
            </w:r>
          </w:p>
        </w:tc>
      </w:tr>
      <w:tr>
        <w:trPr>
          <w:tblHeader w:val="false"/>
        </w:trPr>
        <w:tc>
          <w:tcPr>
            <w:tcW w:type="dxa" w:w="5060"/>
            <w:shd w:fill="F0F0F0" w:val="clear"/>
            <w:tcMar>
              <w:top w:type="dxa" w:w="50"/>
              <w:left w:type="dxa" w:w="90"/>
              <w:bottom w:type="dxa" w:w="50"/>
              <w:right w:type="dxa" w:w="90"/>
            </w:tcMar>
          </w:tcPr>
          <w:p>
            <w:r>
              <w:rPr>
                <w:b w:val="false"/>
                <w:bCs w:val="false"/>
                <w:color w:val="000000"/>
                <w:sz w:val="18"/>
                <w:szCs w:val="18"/>
              </w:rPr>
              <w:t xml:space="preserve">2. Comparaison série InSAR vs laser au pixel (test de la respiration)</w:t>
            </w:r>
          </w:p>
        </w:tc>
        <w:tc>
          <w:tcPr>
            <w:tcW w:type="dxa" w:w="4140"/>
            <w:shd w:fill="F0F0F0" w:val="clear"/>
            <w:tcMar>
              <w:top w:type="dxa" w:w="50"/>
              <w:left w:type="dxa" w:w="90"/>
              <w:bottom w:type="dxa" w:w="50"/>
              <w:right w:type="dxa" w:w="90"/>
            </w:tcMar>
          </w:tcPr>
          <w:p>
            <w:r>
              <w:rPr>
                <w:b w:val="false"/>
                <w:bCs w:val="false"/>
                <w:color w:val="000000"/>
                <w:sz w:val="18"/>
                <w:szCs w:val="18"/>
              </w:rPr>
              <w:t xml:space="preserve">Test décisif : C-band fonctionne-t-il ici ?</w:t>
            </w:r>
          </w:p>
        </w:tc>
      </w:tr>
      <w:tr>
        <w:trPr>
          <w:tblHeader w:val="false"/>
        </w:trPr>
        <w:tc>
          <w:tcPr>
            <w:tcW w:type="dxa" w:w="5060"/>
            <w:tcMar>
              <w:top w:type="dxa" w:w="50"/>
              <w:left w:type="dxa" w:w="90"/>
              <w:bottom w:type="dxa" w:w="50"/>
              <w:right w:type="dxa" w:w="90"/>
            </w:tcMar>
          </w:tcPr>
          <w:p>
            <w:r>
              <w:rPr>
                <w:b w:val="false"/>
                <w:bCs w:val="false"/>
                <w:color w:val="000000"/>
                <w:sz w:val="18"/>
                <w:szCs w:val="18"/>
              </w:rPr>
              <w:t xml:space="preserve">3. Stratification cohérence vs nappe / inondation / phénologie S2</w:t>
            </w:r>
          </w:p>
        </w:tc>
        <w:tc>
          <w:tcPr>
            <w:tcW w:type="dxa" w:w="4140"/>
            <w:tcMar>
              <w:top w:type="dxa" w:w="50"/>
              <w:left w:type="dxa" w:w="90"/>
              <w:bottom w:type="dxa" w:w="50"/>
              <w:right w:type="dxa" w:w="90"/>
            </w:tcMar>
          </w:tcPr>
          <w:p>
            <w:r>
              <w:rPr>
                <w:b w:val="false"/>
                <w:bCs w:val="false"/>
                <w:color w:val="000000"/>
                <w:sz w:val="18"/>
                <w:szCs w:val="18"/>
              </w:rPr>
              <w:t xml:space="preserve">Teste « inondé = décorrélé » (§8.4)</w:t>
            </w:r>
          </w:p>
        </w:tc>
      </w:tr>
      <w:tr>
        <w:trPr>
          <w:tblHeader w:val="false"/>
        </w:trPr>
        <w:tc>
          <w:tcPr>
            <w:tcW w:type="dxa" w:w="5060"/>
            <w:shd w:fill="F0F0F0" w:val="clear"/>
            <w:tcMar>
              <w:top w:type="dxa" w:w="50"/>
              <w:left w:type="dxa" w:w="90"/>
              <w:bottom w:type="dxa" w:w="50"/>
              <w:right w:type="dxa" w:w="90"/>
            </w:tcMar>
          </w:tcPr>
          <w:p>
            <w:r>
              <w:rPr>
                <w:b w:val="false"/>
                <w:bCs w:val="false"/>
                <w:color w:val="000000"/>
                <w:sz w:val="18"/>
                <w:szCs w:val="18"/>
              </w:rPr>
              <w:t xml:space="preserve">4. DS-InSAR / PSI sur diffuseurs stables (passerelles, instruments)</w:t>
            </w:r>
          </w:p>
        </w:tc>
        <w:tc>
          <w:tcPr>
            <w:tcW w:type="dxa" w:w="4140"/>
            <w:shd w:fill="F0F0F0" w:val="clear"/>
            <w:tcMar>
              <w:top w:type="dxa" w:w="50"/>
              <w:left w:type="dxa" w:w="90"/>
              <w:bottom w:type="dxa" w:w="50"/>
              <w:right w:type="dxa" w:w="90"/>
            </w:tcMar>
          </w:tcPr>
          <w:p>
            <w:r>
              <w:rPr>
                <w:b w:val="false"/>
                <w:bCs w:val="false"/>
                <w:color w:val="000000"/>
                <w:sz w:val="18"/>
                <w:szCs w:val="18"/>
              </w:rPr>
              <w:t xml:space="preserve">Ancre une référence fiable (manquait à MintPy)</w:t>
            </w:r>
          </w:p>
        </w:tc>
      </w:tr>
      <w:tr>
        <w:trPr>
          <w:tblHeader w:val="false"/>
        </w:trPr>
        <w:tc>
          <w:tcPr>
            <w:tcW w:type="dxa" w:w="5060"/>
            <w:tcMar>
              <w:top w:type="dxa" w:w="50"/>
              <w:left w:type="dxa" w:w="90"/>
              <w:bottom w:type="dxa" w:w="50"/>
              <w:right w:type="dxa" w:w="90"/>
            </w:tcMar>
          </w:tcPr>
          <w:p>
            <w:r>
              <w:rPr>
                <w:b w:val="false"/>
                <w:bCs w:val="false"/>
                <w:color w:val="000000"/>
                <w:sz w:val="18"/>
                <w:szCs w:val="18"/>
              </w:rPr>
              <w:t xml:space="preserve">5. Budget SNR quantitatif (dispersion sur zones stables)</w:t>
            </w:r>
          </w:p>
        </w:tc>
        <w:tc>
          <w:tcPr>
            <w:tcW w:type="dxa" w:w="4140"/>
            <w:tcMar>
              <w:top w:type="dxa" w:w="50"/>
              <w:left w:type="dxa" w:w="90"/>
              <w:bottom w:type="dxa" w:w="50"/>
              <w:right w:type="dxa" w:w="90"/>
            </w:tcMar>
          </w:tcPr>
          <w:p>
            <w:r>
              <w:rPr>
                <w:b w:val="false"/>
                <w:bCs w:val="false"/>
                <w:color w:val="000000"/>
                <w:sz w:val="18"/>
                <w:szCs w:val="18"/>
              </w:rPr>
              <w:t xml:space="preserve">« ≈ 0 » = détection ou non-détection ? (§8.5)</w:t>
            </w:r>
          </w:p>
        </w:tc>
      </w:tr>
      <w:tr>
        <w:trPr>
          <w:tblHeader w:val="false"/>
        </w:trPr>
        <w:tc>
          <w:tcPr>
            <w:tcW w:type="dxa" w:w="5060"/>
            <w:shd w:fill="F0F0F0" w:val="clear"/>
            <w:tcMar>
              <w:top w:type="dxa" w:w="50"/>
              <w:left w:type="dxa" w:w="90"/>
              <w:bottom w:type="dxa" w:w="50"/>
              <w:right w:type="dxa" w:w="90"/>
            </w:tcMar>
          </w:tcPr>
          <w:p>
            <w:r>
              <w:rPr>
                <w:b w:val="false"/>
                <w:bCs w:val="false"/>
                <w:color w:val="000000"/>
                <w:sz w:val="18"/>
                <w:szCs w:val="18"/>
              </w:rPr>
              <w:t xml:space="preserve">6. Validation croisée drone (DoD dé-aliasé par la nappe)</w:t>
            </w:r>
          </w:p>
        </w:tc>
        <w:tc>
          <w:tcPr>
            <w:tcW w:type="dxa" w:w="4140"/>
            <w:shd w:fill="F0F0F0" w:val="clear"/>
            <w:tcMar>
              <w:top w:type="dxa" w:w="50"/>
              <w:left w:type="dxa" w:w="90"/>
              <w:bottom w:type="dxa" w:w="50"/>
              <w:right w:type="dxa" w:w="90"/>
            </w:tcMar>
          </w:tcPr>
          <w:p>
            <w:r>
              <w:rPr>
                <w:b w:val="false"/>
                <w:bCs w:val="false"/>
                <w:color w:val="000000"/>
                <w:sz w:val="18"/>
                <w:szCs w:val="18"/>
              </w:rPr>
              <w:t xml:space="preserve">Arbitre externe du signe et de l'ordre de grandeur</w:t>
            </w:r>
          </w:p>
        </w:tc>
      </w:tr>
    </w:tbl>
    <w:p>
      <w:pPr>
        <w:spacing w:after="120"/>
      </w:pPr>
      <w:r>
        <w:t xml:space="preserve">[INT] Le test 2 est le plus discriminant : si l'InSAR récupère la respiration au point laser (comme les caméras de Hrysiewicz) même sans trend net fiable, alors la bande C fonctionne ici et seul le trend est limité par le SNR ; sinon, le cœur du fen est génuinement décorrélé.</w:t>
      </w:r>
    </w:p>
    <w:p>
      <w:pPr>
        <w:pStyle w:val="Heading2"/>
        <w:spacing w:after="150" w:before="300"/>
      </w:pPr>
      <w:r>
        <w:t xml:space="preserve">8.7 Biais identifiés dans notre propre démarche</w:t>
      </w:r>
    </w:p>
    <w:p>
      <w:pPr>
        <w:pStyle w:val="ListParagraph"/>
        <w:numPr>
          <w:ilvl w:val="0"/>
          <w:numId w:val="1"/>
        </w:numPr>
        <w:spacing w:after="60"/>
      </w:pPr>
      <w:r>
        <w:t xml:space="preserve">Biais de confirmation : après l'échec MintPy, recherche de raisons « physiques » et sous-pondération des succès publiés en C-band ;</w:t>
      </w:r>
    </w:p>
    <w:p>
      <w:pPr>
        <w:pStyle w:val="ListParagraph"/>
        <w:numPr>
          <w:ilvl w:val="0"/>
          <w:numId w:val="1"/>
        </w:numPr>
        <w:spacing w:after="60"/>
      </w:pPr>
      <w:r>
        <w:t xml:space="preserve">Biais de disponibilité : comparaison calquée sur Biebrza (drainé) car article en main, alors que les analogues pertinents sont les bogs suivis par caméra (Hrysiewicz) ;</w:t>
      </w:r>
    </w:p>
    <w:p>
      <w:pPr>
        <w:pStyle w:val="ListParagraph"/>
        <w:numPr>
          <w:ilvl w:val="0"/>
          <w:numId w:val="1"/>
        </w:numPr>
        <w:spacing w:after="60"/>
      </w:pPr>
      <w:r>
        <w:t xml:space="preserve">Biais de méthode unique : un seul design de réseau (court), sous MintPy seul, sans ISCE/GAMMA/StaMPS/DS-InSAR en comparaison ;</w:t>
      </w:r>
    </w:p>
    <w:p>
      <w:pPr>
        <w:pStyle w:val="ListParagraph"/>
        <w:numPr>
          <w:ilvl w:val="0"/>
          <w:numId w:val="1"/>
        </w:numPr>
        <w:spacing w:after="60"/>
      </w:pPr>
      <w:r>
        <w:t xml:space="preserve">Sur-généralisation : d'un échec sur un site/une config vers « la bande C ne peut pas ».</w:t>
      </w:r>
    </w:p>
    <w:p>
      <w:pPr>
        <w:pStyle w:val="Heading1"/>
        <w:spacing w:after="200" w:before="400"/>
      </w:pPr>
      <w:r>
        <w:t xml:space="preserve">9. Réorientation stratégique : une architecture qui respecte la physique</w:t>
      </w:r>
    </w:p>
    <w:p>
      <w:pPr>
        <w:spacing w:after="120"/>
      </w:pPr>
      <w:r>
        <w:t xml:space="preserve">Plutôt que « InSAR → vertical » (inobservable ici), l'architecture proposée redistribue les rôles selon ce que chaque capteur mesure réellement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24"/>
        <w:gridCol w:w="3128"/>
        <w:gridCol w:w="4048"/>
      </w:tblGrid>
      <w:tr>
        <w:trPr>
          <w:tblHeader/>
        </w:trPr>
        <w:tc>
          <w:tcPr>
            <w:tcW w:type="dxa" w:w="2024"/>
            <w:shd w:fill="2E7D6B" w:val="clear"/>
            <w:tcMar>
              <w:top w:type="dxa" w:w="50"/>
              <w:left w:type="dxa" w:w="90"/>
              <w:bottom w:type="dxa" w:w="50"/>
              <w:right w:type="dxa" w:w="90"/>
            </w:tcMar>
          </w:tcPr>
          <w:p>
            <w:r>
              <w:rPr>
                <w:b/>
                <w:bCs/>
                <w:color w:val="FFFFFF"/>
                <w:sz w:val="18"/>
                <w:szCs w:val="18"/>
              </w:rPr>
              <w:t xml:space="preserve">Capteur</w:t>
            </w:r>
          </w:p>
        </w:tc>
        <w:tc>
          <w:tcPr>
            <w:tcW w:type="dxa" w:w="3128"/>
            <w:shd w:fill="2E7D6B" w:val="clear"/>
            <w:tcMar>
              <w:top w:type="dxa" w:w="50"/>
              <w:left w:type="dxa" w:w="90"/>
              <w:bottom w:type="dxa" w:w="50"/>
              <w:right w:type="dxa" w:w="90"/>
            </w:tcMar>
          </w:tcPr>
          <w:p>
            <w:r>
              <w:rPr>
                <w:b/>
                <w:bCs/>
                <w:color w:val="FFFFFF"/>
                <w:sz w:val="18"/>
                <w:szCs w:val="18"/>
              </w:rPr>
              <w:t xml:space="preserve">Ce qu'il mesure vraiment ici</w:t>
            </w:r>
          </w:p>
        </w:tc>
        <w:tc>
          <w:tcPr>
            <w:tcW w:type="dxa" w:w="4048"/>
            <w:shd w:fill="2E7D6B" w:val="clear"/>
            <w:tcMar>
              <w:top w:type="dxa" w:w="50"/>
              <w:left w:type="dxa" w:w="90"/>
              <w:bottom w:type="dxa" w:w="50"/>
              <w:right w:type="dxa" w:w="90"/>
            </w:tcMar>
          </w:tcPr>
          <w:p>
            <w:r>
              <w:rPr>
                <w:b/>
                <w:bCs/>
                <w:color w:val="FFFFFF"/>
                <w:sz w:val="18"/>
                <w:szCs w:val="18"/>
              </w:rPr>
              <w:t xml:space="preserve">Rôle dans la nouvelle architecture</w:t>
            </w:r>
          </w:p>
        </w:tc>
      </w:tr>
      <w:tr>
        <w:trPr>
          <w:tblHeader w:val="false"/>
        </w:trPr>
        <w:tc>
          <w:tcPr>
            <w:tcW w:type="dxa" w:w="2024"/>
            <w:tcMar>
              <w:top w:type="dxa" w:w="50"/>
              <w:left w:type="dxa" w:w="90"/>
              <w:bottom w:type="dxa" w:w="50"/>
              <w:right w:type="dxa" w:w="90"/>
            </w:tcMar>
          </w:tcPr>
          <w:p>
            <w:r>
              <w:rPr>
                <w:b w:val="false"/>
                <w:bCs w:val="false"/>
                <w:color w:val="000000"/>
                <w:sz w:val="18"/>
                <w:szCs w:val="18"/>
              </w:rPr>
              <w:t xml:space="preserve">Laser in situ (1 pt, continu, mm)</w:t>
            </w:r>
          </w:p>
        </w:tc>
        <w:tc>
          <w:tcPr>
            <w:tcW w:type="dxa" w:w="3128"/>
            <w:tcMar>
              <w:top w:type="dxa" w:w="50"/>
              <w:left w:type="dxa" w:w="90"/>
              <w:bottom w:type="dxa" w:w="50"/>
              <w:right w:type="dxa" w:w="90"/>
            </w:tcMar>
          </w:tcPr>
          <w:p>
            <w:r>
              <w:rPr>
                <w:b w:val="false"/>
                <w:bCs w:val="false"/>
                <w:color w:val="000000"/>
                <w:sz w:val="18"/>
                <w:szCs w:val="18"/>
              </w:rPr>
              <w:t xml:space="preserve">Mouvement vrai de surface en 1 point + couplage à la nappe</w:t>
            </w:r>
          </w:p>
        </w:tc>
        <w:tc>
          <w:tcPr>
            <w:tcW w:type="dxa" w:w="4048"/>
            <w:tcMar>
              <w:top w:type="dxa" w:w="50"/>
              <w:left w:type="dxa" w:w="90"/>
              <w:bottom w:type="dxa" w:w="50"/>
              <w:right w:type="dxa" w:w="90"/>
            </w:tcMar>
          </w:tcPr>
          <w:p>
            <w:r>
              <w:rPr>
                <w:b w:val="false"/>
                <w:bCs w:val="false"/>
                <w:color w:val="000000"/>
                <w:sz w:val="18"/>
                <w:szCs w:val="18"/>
              </w:rPr>
              <w:t xml:space="preserve">MODÈLE : établit la fonction de transfert élévation = f(nappe, saison)</w:t>
            </w:r>
          </w:p>
        </w:tc>
      </w:tr>
      <w:tr>
        <w:trPr>
          <w:tblHeader w:val="false"/>
        </w:trPr>
        <w:tc>
          <w:tcPr>
            <w:tcW w:type="dxa" w:w="2024"/>
            <w:shd w:fill="F0F0F0" w:val="clear"/>
            <w:tcMar>
              <w:top w:type="dxa" w:w="50"/>
              <w:left w:type="dxa" w:w="90"/>
              <w:bottom w:type="dxa" w:w="50"/>
              <w:right w:type="dxa" w:w="90"/>
            </w:tcMar>
          </w:tcPr>
          <w:p>
            <w:r>
              <w:rPr>
                <w:b w:val="false"/>
                <w:bCs w:val="false"/>
                <w:color w:val="000000"/>
                <w:sz w:val="18"/>
                <w:szCs w:val="18"/>
              </w:rPr>
              <w:t xml:space="preserve">UAV DTM/DSM (AOI, 2 époques, cm)</w:t>
            </w:r>
          </w:p>
        </w:tc>
        <w:tc>
          <w:tcPr>
            <w:tcW w:type="dxa" w:w="3128"/>
            <w:shd w:fill="F0F0F0" w:val="clear"/>
            <w:tcMar>
              <w:top w:type="dxa" w:w="50"/>
              <w:left w:type="dxa" w:w="90"/>
              <w:bottom w:type="dxa" w:w="50"/>
              <w:right w:type="dxa" w:w="90"/>
            </w:tcMar>
          </w:tcPr>
          <w:p>
            <w:r>
              <w:rPr>
                <w:b w:val="false"/>
                <w:bCs w:val="false"/>
                <w:color w:val="000000"/>
                <w:sz w:val="18"/>
                <w:szCs w:val="18"/>
              </w:rPr>
              <w:t xml:space="preserve">Changement net d'élévation 2022→2024, tout le site</w:t>
            </w:r>
          </w:p>
        </w:tc>
        <w:tc>
          <w:tcPr>
            <w:tcW w:type="dxa" w:w="4048"/>
            <w:shd w:fill="F0F0F0" w:val="clear"/>
            <w:tcMar>
              <w:top w:type="dxa" w:w="50"/>
              <w:left w:type="dxa" w:w="90"/>
              <w:bottom w:type="dxa" w:w="50"/>
              <w:right w:type="dxa" w:w="90"/>
            </w:tcMar>
          </w:tcPr>
          <w:p>
            <w:r>
              <w:rPr>
                <w:b w:val="false"/>
                <w:bCs w:val="false"/>
                <w:color w:val="000000"/>
                <w:sz w:val="18"/>
                <w:szCs w:val="18"/>
              </w:rPr>
              <w:t xml:space="preserve">VÉRITÉ SPATIALE : squelette du champ vertical</w:t>
            </w:r>
          </w:p>
        </w:tc>
      </w:tr>
      <w:tr>
        <w:trPr>
          <w:tblHeader w:val="false"/>
        </w:trPr>
        <w:tc>
          <w:tcPr>
            <w:tcW w:type="dxa" w:w="2024"/>
            <w:tcMar>
              <w:top w:type="dxa" w:w="50"/>
              <w:left w:type="dxa" w:w="90"/>
              <w:bottom w:type="dxa" w:w="50"/>
              <w:right w:type="dxa" w:w="90"/>
            </w:tcMar>
          </w:tcPr>
          <w:p>
            <w:r>
              <w:rPr>
                <w:b w:val="false"/>
                <w:bCs w:val="false"/>
                <w:color w:val="000000"/>
                <w:sz w:val="18"/>
                <w:szCs w:val="18"/>
              </w:rPr>
              <w:t xml:space="preserve">Sentinel-1 (fréquent, spatial)</w:t>
            </w:r>
          </w:p>
        </w:tc>
        <w:tc>
          <w:tcPr>
            <w:tcW w:type="dxa" w:w="3128"/>
            <w:tcMar>
              <w:top w:type="dxa" w:w="50"/>
              <w:left w:type="dxa" w:w="90"/>
              <w:bottom w:type="dxa" w:w="50"/>
              <w:right w:type="dxa" w:w="90"/>
            </w:tcMar>
          </w:tcPr>
          <w:p>
            <w:r>
              <w:rPr>
                <w:b w:val="false"/>
                <w:bCs w:val="false"/>
                <w:color w:val="000000"/>
                <w:sz w:val="18"/>
                <w:szCs w:val="18"/>
              </w:rPr>
              <w:t xml:space="preserve">Cohérence + backscatter = état d'humidité/inondation</w:t>
            </w:r>
          </w:p>
        </w:tc>
        <w:tc>
          <w:tcPr>
            <w:tcW w:type="dxa" w:w="4048"/>
            <w:tcMar>
              <w:top w:type="dxa" w:w="50"/>
              <w:left w:type="dxa" w:w="90"/>
              <w:bottom w:type="dxa" w:w="50"/>
              <w:right w:type="dxa" w:w="90"/>
            </w:tcMar>
          </w:tcPr>
          <w:p>
            <w:r>
              <w:rPr>
                <w:b w:val="false"/>
                <w:bCs w:val="false"/>
                <w:color w:val="000000"/>
                <w:sz w:val="18"/>
                <w:szCs w:val="18"/>
              </w:rPr>
              <w:t xml:space="preserve">COVARIABLE : upscale du modèle laser + désaliasing du DoD</w:t>
            </w:r>
          </w:p>
        </w:tc>
      </w:tr>
      <w:tr>
        <w:trPr>
          <w:tblHeader w:val="false"/>
        </w:trPr>
        <w:tc>
          <w:tcPr>
            <w:tcW w:type="dxa" w:w="2024"/>
            <w:shd w:fill="F0F0F0" w:val="clear"/>
            <w:tcMar>
              <w:top w:type="dxa" w:w="50"/>
              <w:left w:type="dxa" w:w="90"/>
              <w:bottom w:type="dxa" w:w="50"/>
              <w:right w:type="dxa" w:w="90"/>
            </w:tcMar>
          </w:tcPr>
          <w:p>
            <w:r>
              <w:rPr>
                <w:b w:val="false"/>
                <w:bCs w:val="false"/>
                <w:color w:val="000000"/>
                <w:sz w:val="18"/>
                <w:szCs w:val="18"/>
              </w:rPr>
              <w:t xml:space="preserve">Sentinel-2 (fréquent, spatial)</w:t>
            </w:r>
          </w:p>
        </w:tc>
        <w:tc>
          <w:tcPr>
            <w:tcW w:type="dxa" w:w="3128"/>
            <w:shd w:fill="F0F0F0" w:val="clear"/>
            <w:tcMar>
              <w:top w:type="dxa" w:w="50"/>
              <w:left w:type="dxa" w:w="90"/>
              <w:bottom w:type="dxa" w:w="50"/>
              <w:right w:type="dxa" w:w="90"/>
            </w:tcMar>
          </w:tcPr>
          <w:p>
            <w:r>
              <w:rPr>
                <w:b w:val="false"/>
                <w:bCs w:val="false"/>
                <w:color w:val="000000"/>
                <w:sz w:val="18"/>
                <w:szCs w:val="18"/>
              </w:rPr>
              <w:t xml:space="preserve">NDWI/NDVI = eau, phénologie</w:t>
            </w:r>
          </w:p>
        </w:tc>
        <w:tc>
          <w:tcPr>
            <w:tcW w:type="dxa" w:w="4048"/>
            <w:shd w:fill="F0F0F0" w:val="clear"/>
            <w:tcMar>
              <w:top w:type="dxa" w:w="50"/>
              <w:left w:type="dxa" w:w="90"/>
              <w:bottom w:type="dxa" w:w="50"/>
              <w:right w:type="dxa" w:w="90"/>
            </w:tcMar>
          </w:tcPr>
          <w:p>
            <w:r>
              <w:rPr>
                <w:b w:val="false"/>
                <w:bCs w:val="false"/>
                <w:color w:val="000000"/>
                <w:sz w:val="18"/>
                <w:szCs w:val="18"/>
              </w:rPr>
              <w:t xml:space="preserve">COVARIABLE : quand la surface est comparable, où est l'eau</w:t>
            </w:r>
          </w:p>
        </w:tc>
      </w:tr>
    </w:tbl>
    <w:p>
      <w:pPr>
        <w:pStyle w:val="Heading2"/>
        <w:spacing w:after="150" w:before="300"/>
      </w:pPr>
      <w:r>
        <w:t xml:space="preserve">8.1 Le mécanisme de fusion (l'idée centrale)</w:t>
      </w:r>
    </w:p>
    <w:p>
      <w:pPr>
        <w:pStyle w:val="ListParagraph"/>
        <w:numPr>
          <w:ilvl w:val="0"/>
          <w:numId w:val="1"/>
        </w:numPr>
        <w:spacing w:after="60"/>
      </w:pPr>
      <w:r>
        <w:t xml:space="preserve">Le LASER transforme 1 point en fonction de transfert : combien de mouvement est réversible (respiration) vs net, et comment il se couple au niveau de nappe.</w:t>
      </w:r>
    </w:p>
    <w:p>
      <w:pPr>
        <w:pStyle w:val="ListParagraph"/>
        <w:numPr>
          <w:ilvl w:val="0"/>
          <w:numId w:val="1"/>
        </w:numPr>
        <w:spacing w:after="60"/>
      </w:pPr>
      <w:r>
        <w:t xml:space="preserve">Le DoD DRONE donne le motif spatial du changement net, mais à 2 instants seulement → il est aliasé par la phase du cycle de respiration capté à chaque vol.</w:t>
      </w:r>
    </w:p>
    <w:p>
      <w:pPr>
        <w:pStyle w:val="ListParagraph"/>
        <w:numPr>
          <w:ilvl w:val="0"/>
          <w:numId w:val="1"/>
        </w:numPr>
        <w:spacing w:after="60"/>
      </w:pPr>
      <w:r>
        <w:t xml:space="preserve">Le LASER dé-aliase le DoD : connaissant l'amplitude de respiration et l'état de nappe à chaque date de vol, on corrige le DoD vers un niveau de nappe de référence commun → on isole la composante nette irréversible.</w:t>
      </w:r>
    </w:p>
    <w:p>
      <w:pPr>
        <w:pStyle w:val="ListParagraph"/>
        <w:numPr>
          <w:ilvl w:val="0"/>
          <w:numId w:val="1"/>
        </w:numPr>
        <w:spacing w:after="60"/>
      </w:pPr>
      <w:r>
        <w:t xml:space="preserve">S1/S2 fournissent l'état de nappe/humidité SPATIALISÉ et FRÉQUENT qui permet (i) d'étendre la fonction de transfert du laser à tout l'AOI, (ii) d'interpoler l'état de nappe entre et autour des 2 vols drone.</w:t>
      </w:r>
    </w:p>
    <w:p>
      <w:pPr>
        <w:pBdr>
          <w:left w:val="single" w:color="2E7D6B" w:sz="18" w:space="10"/>
        </w:pBdr>
        <w:spacing w:after="200" w:before="120"/>
      </w:pPr>
      <w:r>
        <w:rPr>
          <w:b/>
          <w:bCs/>
        </w:rPr>
        <w:t xml:space="preserve">Formule de l'architecture : </w:t>
      </w:r>
      <w:r>
        <w:t xml:space="preserve">Laser = modèle · Drone = vérité spatiale du changement net (2 époques) · Sentinel-1/2 = covariable hydrologique spatio-temporelle pour corriger et upscaler. C'est la seule combinaison qui utilise chaque capteur pour ce qu'il sait réellement faire.</w:t>
      </w:r>
    </w:p>
    <w:p>
      <w:pPr>
        <w:pStyle w:val="Heading1"/>
        <w:spacing w:after="200" w:before="400"/>
      </w:pPr>
      <w:r>
        <w:t xml:space="preserve">10. Le rôle reformulé — et toujours essentiel — de Sentinel-1/2</w:t>
      </w:r>
    </w:p>
    <w:p>
      <w:pPr>
        <w:spacing w:after="120"/>
      </w:pPr>
      <w:r>
        <w:t xml:space="preserve">Réponse directe à « quel rôle S1/S2 peuvent-ils encore jouer ? » : un rôle central, mais comme capteurs de l'ÉTAT HYDROLOGIQUE et écologique, non de déformation.</w:t>
      </w:r>
    </w:p>
    <w:p>
      <w:pPr>
        <w:pStyle w:val="ListParagraph"/>
        <w:numPr>
          <w:ilvl w:val="0"/>
          <w:numId w:val="1"/>
        </w:numPr>
        <w:spacing w:after="60"/>
      </w:pPr>
      <w:r>
        <w:t xml:space="preserve">Cohérence InSAR comme indicateur : la perte de cohérence cartographie l'étendue et la dynamique d'inondation, la perturbation du tapis, la phénologie. Une série de cohérence est un produit légitime et publiable.</w:t>
      </w:r>
    </w:p>
    <w:p>
      <w:pPr>
        <w:pStyle w:val="ListParagraph"/>
        <w:numPr>
          <w:ilvl w:val="0"/>
          <w:numId w:val="1"/>
        </w:numPr>
        <w:spacing w:after="60"/>
      </w:pPr>
      <w:r>
        <w:t xml:space="preserve">Backscatter S1 (σ0 VV/VH) : robuste, sans besoin de cohérence ; répond à la rugosité de surface, l'inondation, la biomasse. Le double-bounce sur végétation émergente croît souvent avec l'inondation → proxy de niveau d'eau.</w:t>
      </w:r>
    </w:p>
    <w:p>
      <w:pPr>
        <w:pStyle w:val="ListParagraph"/>
        <w:numPr>
          <w:ilvl w:val="0"/>
          <w:numId w:val="1"/>
        </w:numPr>
        <w:spacing w:after="60"/>
      </w:pPr>
      <w:r>
        <w:t xml:space="preserve">S2 NDWI/eau : dynamique du lac résiduel et des zones inondées dans le temps ; NDVI pour la phénologie et pour dater les vols drone.</w:t>
      </w:r>
    </w:p>
    <w:p>
      <w:pPr>
        <w:pStyle w:val="ListParagraph"/>
        <w:numPr>
          <w:ilvl w:val="0"/>
          <w:numId w:val="1"/>
        </w:numPr>
        <w:spacing w:after="60"/>
      </w:pPr>
      <w:r>
        <w:t xml:space="preserve">Pipeline B conservé comme borne supérieure / résultat nul : « l'InSAR ne détecte pas de subsidence nette au-delà de X mm/an ici », un résultat bornant honnête et un cross-check.</w:t>
      </w:r>
    </w:p>
    <w:p>
      <w:r>
        <w:br w:type="page"/>
      </w:r>
    </w:p>
    <w:p>
      <w:pPr>
        <w:pStyle w:val="Heading1"/>
        <w:spacing w:after="200" w:before="400"/>
      </w:pPr>
      <w:r>
        <w:t xml:space="preserve">11. Sources et outils alternatifs évalués</w:t>
      </w:r>
    </w:p>
    <w:p>
      <w:pPr>
        <w:pStyle w:val="Heading2"/>
        <w:spacing w:after="150" w:before="300"/>
      </w:pPr>
      <w:r>
        <w:t xml:space="preserve">10.1 Google Earth Engine et Microsoft Planetary Computer</w:t>
      </w:r>
    </w:p>
    <w:p>
      <w:pPr>
        <w:spacing w:after="120"/>
      </w:pPr>
      <w:r>
        <w:t xml:space="preserve">Ils n'apportent pas de PHYSIQUE nouvelle (mêmes données Sentinel), mais accélèrent le travail de covariable et d'archive, et donnent accès à des jeux globaux précieux :</w:t>
      </w:r>
    </w:p>
    <w:p>
      <w:pPr>
        <w:pStyle w:val="ListParagraph"/>
        <w:numPr>
          <w:ilvl w:val="0"/>
          <w:numId w:val="1"/>
        </w:numPr>
        <w:spacing w:after="60"/>
      </w:pPr>
      <w:r>
        <w:t xml:space="preserve">JRC Global Surface Water (Pekel et al.) : historique de l'eau de surface 1984+ — idéal pour la dynamique du lac résiduel ;</w:t>
      </w:r>
    </w:p>
    <w:p>
      <w:pPr>
        <w:pStyle w:val="ListParagraph"/>
        <w:numPr>
          <w:ilvl w:val="0"/>
          <w:numId w:val="1"/>
        </w:numPr>
        <w:spacing w:after="60"/>
      </w:pPr>
      <w:r>
        <w:t xml:space="preserve">Archives Landsat (1984+) pour l'histoire long-terme de l'étendue d'eau et de végétation ;</w:t>
      </w:r>
    </w:p>
    <w:p>
      <w:pPr>
        <w:pStyle w:val="ListParagraph"/>
        <w:numPr>
          <w:ilvl w:val="0"/>
          <w:numId w:val="1"/>
        </w:numPr>
        <w:spacing w:after="60"/>
      </w:pPr>
      <w:r>
        <w:t xml:space="preserve">Sentinel-1 GRD analysis-ready (backscatter) et S2 à l'échelle, sans compute local — parfait pour les séries σ0/NDWI ;</w:t>
      </w:r>
    </w:p>
    <w:p>
      <w:pPr>
        <w:pStyle w:val="ListParagraph"/>
        <w:numPr>
          <w:ilvl w:val="0"/>
          <w:numId w:val="1"/>
        </w:numPr>
        <w:spacing w:after="60"/>
      </w:pPr>
      <w:r>
        <w:t xml:space="preserve">Copernicus GLO-30 DEM, ERA5-Land, GLDAS pour les covariables hydro-climatiques.</w:t>
      </w:r>
    </w:p>
    <w:p>
      <w:pPr>
        <w:pBdr>
          <w:left w:val="single" w:color="9A6700" w:sz="18" w:space="10"/>
        </w:pBdr>
        <w:spacing w:after="200" w:before="120"/>
      </w:pPr>
      <w:r>
        <w:rPr>
          <w:b/>
          <w:bCs/>
        </w:rPr>
        <w:t xml:space="preserve">Limite importante : </w:t>
      </w:r>
      <w:r>
        <w:t xml:space="preserve">GEE ne fait PAS d'interférométrie (phase) — uniquement l'amplitude GRD. GEE/MPC servent donc aux covariables backscatter/optique et à l'archive, pas à résoudre le déplacement vertical.</w:t>
      </w:r>
    </w:p>
    <w:p>
      <w:pPr>
        <w:pStyle w:val="Heading2"/>
        <w:spacing w:after="150" w:before="300"/>
      </w:pPr>
      <w:r>
        <w:t xml:space="preserve">10.2 Bande L et missions futures (la vraie solution physique)</w:t>
      </w:r>
    </w:p>
    <w:p>
      <w:pPr>
        <w:spacing w:after="120"/>
      </w:pPr>
      <w:r>
        <w:t xml:space="preserve">La solution PHYSIQUE au problème de pénétration et de cohérence est la bande L (λ≈24 cm), qui traverse le couvert herbacé et maintient la cohérence sur des mois :</w:t>
      </w:r>
    </w:p>
    <w:p>
      <w:pPr>
        <w:pStyle w:val="ListParagraph"/>
        <w:numPr>
          <w:ilvl w:val="0"/>
          <w:numId w:val="1"/>
        </w:numPr>
        <w:spacing w:after="60"/>
      </w:pPr>
      <w:r>
        <w:t xml:space="preserve">NISAR (NASA/ISRO, lancé 2025, L+S, données libres) : la mission cible — série exploitable dans quelques années ;</w:t>
      </w:r>
    </w:p>
    <w:p>
      <w:pPr>
        <w:pStyle w:val="ListParagraph"/>
        <w:numPr>
          <w:ilvl w:val="0"/>
          <w:numId w:val="1"/>
        </w:numPr>
        <w:spacing w:after="60"/>
      </w:pPr>
      <w:r>
        <w:t xml:space="preserve">SAOCOM (CONAE, L-band, opérationnel) : archive à explorer, produits polarimétriques ;</w:t>
      </w:r>
    </w:p>
    <w:p>
      <w:pPr>
        <w:pStyle w:val="ListParagraph"/>
        <w:numPr>
          <w:ilvl w:val="0"/>
          <w:numId w:val="1"/>
        </w:numPr>
        <w:spacing w:after="60"/>
      </w:pPr>
      <w:r>
        <w:t xml:space="preserve">ALOS-2/PALSAR-2 : archive clairsemée sur l'Europe, accès restreint ;</w:t>
      </w:r>
    </w:p>
    <w:p>
      <w:pPr>
        <w:pStyle w:val="ListParagraph"/>
        <w:numPr>
          <w:ilvl w:val="0"/>
          <w:numId w:val="1"/>
        </w:numPr>
        <w:spacing w:after="60"/>
      </w:pPr>
      <w:r>
        <w:t xml:space="preserve">ROSE-L (ESA, ~2028) : futur opérationnel européen.</w:t>
      </w:r>
    </w:p>
    <w:p>
      <w:pPr>
        <w:pBdr>
          <w:left w:val="single" w:color="2E7D6B" w:sz="18" w:space="10"/>
        </w:pBdr>
        <w:spacing w:after="200" w:before="120"/>
      </w:pPr>
      <w:r>
        <w:rPr>
          <w:b/>
          <w:bCs/>
        </w:rPr>
        <w:t xml:space="preserve">Contrainte honnête : </w:t>
      </w:r>
      <w:r>
        <w:t xml:space="preserve">aucune archive bande L n'existe pour Rzecin sur 2022–2024. La bande L est donc une perspective (travaux futurs), pas une solution rétroactive. Notre étude caractérise le site et fournit la baseline sur laquelle brancher NISAR dès que ses séries couvriront quelques années.</w:t>
      </w:r>
    </w:p>
    <w:p>
      <w:pPr>
        <w:pStyle w:val="Heading2"/>
        <w:spacing w:after="150" w:before="300"/>
      </w:pPr>
      <w:r>
        <w:t xml:space="preserve">10.3 Limitations Sentinel-1 en 2025–2026</w:t>
      </w:r>
    </w:p>
    <w:p>
      <w:pPr>
        <w:spacing w:after="120"/>
      </w:pPr>
      <w:r>
        <w:t xml:space="preserve">S1B est en panne depuis 2021 ; S1A a longtemps opéré seul (cycle 12 j sur notre période, d'où un réseau encore plus faible). S1C, lancé fin 2024, est en phase de mise en service en 2025. Le retour à un cycle 6 j dense n'est donc pas acquis pour la période étudiée — ce qui renforce l'argument contre l'approche SBAS dense sur ce site et cette période.</w:t>
      </w:r>
    </w:p>
    <w:p>
      <w:pPr>
        <w:pStyle w:val="Heading1"/>
        <w:spacing w:after="200" w:before="400"/>
      </w:pPr>
      <w:r>
        <w:t xml:space="preserve">12. Hypothèses que nous avions négligées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60"/>
        <w:gridCol w:w="3680"/>
        <w:gridCol w:w="2760"/>
      </w:tblGrid>
      <w:tr>
        <w:trPr>
          <w:tblHeader/>
        </w:trPr>
        <w:tc>
          <w:tcPr>
            <w:tcW w:type="dxa" w:w="2760"/>
            <w:shd w:fill="1F3864" w:val="clear"/>
            <w:tcMar>
              <w:top w:type="dxa" w:w="50"/>
              <w:left w:type="dxa" w:w="90"/>
              <w:bottom w:type="dxa" w:w="50"/>
              <w:right w:type="dxa" w:w="90"/>
            </w:tcMar>
          </w:tcPr>
          <w:p>
            <w:r>
              <w:rPr>
                <w:b/>
                <w:bCs/>
                <w:color w:val="FFFFFF"/>
                <w:sz w:val="18"/>
                <w:szCs w:val="18"/>
              </w:rPr>
              <w:t xml:space="preserve">Hypothèse implicite</w:t>
            </w:r>
          </w:p>
        </w:tc>
        <w:tc>
          <w:tcPr>
            <w:tcW w:type="dxa" w:w="3680"/>
            <w:shd w:fill="1F3864" w:val="clear"/>
            <w:tcMar>
              <w:top w:type="dxa" w:w="50"/>
              <w:left w:type="dxa" w:w="90"/>
              <w:bottom w:type="dxa" w:w="50"/>
              <w:right w:type="dxa" w:w="90"/>
            </w:tcMar>
          </w:tcPr>
          <w:p>
            <w:r>
              <w:rPr>
                <w:b/>
                <w:bCs/>
                <w:color w:val="FFFFFF"/>
                <w:sz w:val="18"/>
                <w:szCs w:val="18"/>
              </w:rPr>
              <w:t xml:space="preserve">Réalité</w:t>
            </w:r>
          </w:p>
        </w:tc>
        <w:tc>
          <w:tcPr>
            <w:tcW w:type="dxa" w:w="2760"/>
            <w:shd w:fill="1F3864" w:val="clear"/>
            <w:tcMar>
              <w:top w:type="dxa" w:w="50"/>
              <w:left w:type="dxa" w:w="90"/>
              <w:bottom w:type="dxa" w:w="50"/>
              <w:right w:type="dxa" w:w="90"/>
            </w:tcMar>
          </w:tcPr>
          <w:p>
            <w:r>
              <w:rPr>
                <w:b/>
                <w:bCs/>
                <w:color w:val="FFFFFF"/>
                <w:sz w:val="18"/>
                <w:szCs w:val="18"/>
              </w:rPr>
              <w:t xml:space="preserve">Impact</w:t>
            </w:r>
          </w:p>
        </w:tc>
      </w:tr>
      <w:tr>
        <w:trPr>
          <w:tblHeader w:val="false"/>
        </w:trPr>
        <w:tc>
          <w:tcPr>
            <w:tcW w:type="dxa" w:w="2760"/>
            <w:tcMar>
              <w:top w:type="dxa" w:w="50"/>
              <w:left w:type="dxa" w:w="90"/>
              <w:bottom w:type="dxa" w:w="50"/>
              <w:right w:type="dxa" w:w="90"/>
            </w:tcMar>
          </w:tcPr>
          <w:p>
            <w:r>
              <w:rPr>
                <w:b w:val="false"/>
                <w:bCs w:val="false"/>
                <w:color w:val="000000"/>
                <w:sz w:val="18"/>
                <w:szCs w:val="18"/>
              </w:rPr>
              <w:t xml:space="preserve">Le centre de phase InSAR = surface tourbeuse</w:t>
            </w:r>
          </w:p>
        </w:tc>
        <w:tc>
          <w:tcPr>
            <w:tcW w:type="dxa" w:w="3680"/>
            <w:tcMar>
              <w:top w:type="dxa" w:w="50"/>
              <w:left w:type="dxa" w:w="90"/>
              <w:bottom w:type="dxa" w:w="50"/>
              <w:right w:type="dxa" w:w="90"/>
            </w:tcMar>
          </w:tcPr>
          <w:p>
            <w:r>
              <w:rPr>
                <w:b w:val="false"/>
                <w:bCs w:val="false"/>
                <w:color w:val="000000"/>
                <w:sz w:val="18"/>
                <w:szCs w:val="18"/>
              </w:rPr>
              <w:t xml:space="preserve">Faux sur végétation inondée (double-bounce mobile)</w:t>
            </w:r>
          </w:p>
        </w:tc>
        <w:tc>
          <w:tcPr>
            <w:tcW w:type="dxa" w:w="2760"/>
            <w:tcMar>
              <w:top w:type="dxa" w:w="50"/>
              <w:left w:type="dxa" w:w="90"/>
              <w:bottom w:type="dxa" w:w="50"/>
              <w:right w:type="dxa" w:w="90"/>
            </w:tcMar>
          </w:tcPr>
          <w:p>
            <w:r>
              <w:rPr>
                <w:b w:val="false"/>
                <w:bCs w:val="false"/>
                <w:color w:val="000000"/>
                <w:sz w:val="18"/>
                <w:szCs w:val="18"/>
              </w:rPr>
              <w:t xml:space="preserve">Majeur — invalide la mesure directe</w:t>
            </w:r>
          </w:p>
        </w:tc>
      </w:tr>
      <w:tr>
        <w:trPr>
          <w:tblHeader w:val="false"/>
        </w:trPr>
        <w:tc>
          <w:tcPr>
            <w:tcW w:type="dxa" w:w="2760"/>
            <w:shd w:fill="F0F0F0" w:val="clear"/>
            <w:tcMar>
              <w:top w:type="dxa" w:w="50"/>
              <w:left w:type="dxa" w:w="90"/>
              <w:bottom w:type="dxa" w:w="50"/>
              <w:right w:type="dxa" w:w="90"/>
            </w:tcMar>
          </w:tcPr>
          <w:p>
            <w:r>
              <w:rPr>
                <w:b w:val="false"/>
                <w:bCs w:val="false"/>
                <w:color w:val="000000"/>
                <w:sz w:val="18"/>
                <w:szCs w:val="18"/>
              </w:rPr>
              <w:t xml:space="preserve">Le déplacement vertical est une grandeur unique</w:t>
            </w:r>
          </w:p>
        </w:tc>
        <w:tc>
          <w:tcPr>
            <w:tcW w:type="dxa" w:w="3680"/>
            <w:shd w:fill="F0F0F0" w:val="clear"/>
            <w:tcMar>
              <w:top w:type="dxa" w:w="50"/>
              <w:left w:type="dxa" w:w="90"/>
              <w:bottom w:type="dxa" w:w="50"/>
              <w:right w:type="dxa" w:w="90"/>
            </w:tcMar>
          </w:tcPr>
          <w:p>
            <w:r>
              <w:rPr>
                <w:b w:val="false"/>
                <w:bCs w:val="false"/>
                <w:color w:val="000000"/>
                <w:sz w:val="18"/>
                <w:szCs w:val="18"/>
              </w:rPr>
              <w:t xml:space="preserve">Conflate flottaison réversible + subsidence nette</w:t>
            </w:r>
          </w:p>
        </w:tc>
        <w:tc>
          <w:tcPr>
            <w:tcW w:type="dxa" w:w="2760"/>
            <w:shd w:fill="F0F0F0" w:val="clear"/>
            <w:tcMar>
              <w:top w:type="dxa" w:w="50"/>
              <w:left w:type="dxa" w:w="90"/>
              <w:bottom w:type="dxa" w:w="50"/>
              <w:right w:type="dxa" w:w="90"/>
            </w:tcMar>
          </w:tcPr>
          <w:p>
            <w:r>
              <w:rPr>
                <w:b w:val="false"/>
                <w:bCs w:val="false"/>
                <w:color w:val="000000"/>
                <w:sz w:val="18"/>
                <w:szCs w:val="18"/>
              </w:rPr>
              <w:t xml:space="preserve">Majeur — reformule l'objectif</w:t>
            </w:r>
          </w:p>
        </w:tc>
      </w:tr>
      <w:tr>
        <w:trPr>
          <w:tblHeader w:val="false"/>
        </w:trPr>
        <w:tc>
          <w:tcPr>
            <w:tcW w:type="dxa" w:w="2760"/>
            <w:tcMar>
              <w:top w:type="dxa" w:w="50"/>
              <w:left w:type="dxa" w:w="90"/>
              <w:bottom w:type="dxa" w:w="50"/>
              <w:right w:type="dxa" w:w="90"/>
            </w:tcMar>
          </w:tcPr>
          <w:p>
            <w:r>
              <w:rPr>
                <w:b w:val="false"/>
                <w:bCs w:val="false"/>
                <w:color w:val="000000"/>
                <w:sz w:val="18"/>
                <w:szCs w:val="18"/>
              </w:rPr>
              <w:t xml:space="preserve">Même avril = même état de surface</w:t>
            </w:r>
          </w:p>
        </w:tc>
        <w:tc>
          <w:tcPr>
            <w:tcW w:type="dxa" w:w="3680"/>
            <w:tcMar>
              <w:top w:type="dxa" w:w="50"/>
              <w:left w:type="dxa" w:w="90"/>
              <w:bottom w:type="dxa" w:w="50"/>
              <w:right w:type="dxa" w:w="90"/>
            </w:tcMar>
          </w:tcPr>
          <w:p>
            <w:r>
              <w:rPr>
                <w:b w:val="false"/>
                <w:bCs w:val="false"/>
                <w:color w:val="000000"/>
                <w:sz w:val="18"/>
                <w:szCs w:val="18"/>
              </w:rPr>
              <w:t xml:space="preserve">Même phénologie ≠ même niveau de nappe</w:t>
            </w:r>
          </w:p>
        </w:tc>
        <w:tc>
          <w:tcPr>
            <w:tcW w:type="dxa" w:w="2760"/>
            <w:tcMar>
              <w:top w:type="dxa" w:w="50"/>
              <w:left w:type="dxa" w:w="90"/>
              <w:bottom w:type="dxa" w:w="50"/>
              <w:right w:type="dxa" w:w="90"/>
            </w:tcMar>
          </w:tcPr>
          <w:p>
            <w:r>
              <w:rPr>
                <w:b w:val="false"/>
                <w:bCs w:val="false"/>
                <w:color w:val="000000"/>
                <w:sz w:val="18"/>
                <w:szCs w:val="18"/>
              </w:rPr>
              <w:t xml:space="preserve">Explique le changement de signe des paires</w:t>
            </w:r>
          </w:p>
        </w:tc>
      </w:tr>
      <w:tr>
        <w:trPr>
          <w:tblHeader w:val="false"/>
        </w:trPr>
        <w:tc>
          <w:tcPr>
            <w:tcW w:type="dxa" w:w="2760"/>
            <w:shd w:fill="F0F0F0" w:val="clear"/>
            <w:tcMar>
              <w:top w:type="dxa" w:w="50"/>
              <w:left w:type="dxa" w:w="90"/>
              <w:bottom w:type="dxa" w:w="50"/>
              <w:right w:type="dxa" w:w="90"/>
            </w:tcMar>
          </w:tcPr>
          <w:p>
            <w:r>
              <w:rPr>
                <w:b w:val="false"/>
                <w:bCs w:val="false"/>
                <w:color w:val="000000"/>
                <w:sz w:val="18"/>
                <w:szCs w:val="18"/>
              </w:rPr>
              <w:t xml:space="preserve">La cohérence est l'ennemi à combattre</w:t>
            </w:r>
          </w:p>
        </w:tc>
        <w:tc>
          <w:tcPr>
            <w:tcW w:type="dxa" w:w="3680"/>
            <w:shd w:fill="F0F0F0" w:val="clear"/>
            <w:tcMar>
              <w:top w:type="dxa" w:w="50"/>
              <w:left w:type="dxa" w:w="90"/>
              <w:bottom w:type="dxa" w:w="50"/>
              <w:right w:type="dxa" w:w="90"/>
            </w:tcMar>
          </w:tcPr>
          <w:p>
            <w:r>
              <w:rPr>
                <w:b w:val="false"/>
                <w:bCs w:val="false"/>
                <w:color w:val="000000"/>
                <w:sz w:val="18"/>
                <w:szCs w:val="18"/>
              </w:rPr>
              <w:t xml:space="preserve">La cohérence est de l'INFORMATION hydrologique</w:t>
            </w:r>
          </w:p>
        </w:tc>
        <w:tc>
          <w:tcPr>
            <w:tcW w:type="dxa" w:w="2760"/>
            <w:shd w:fill="F0F0F0" w:val="clear"/>
            <w:tcMar>
              <w:top w:type="dxa" w:w="50"/>
              <w:left w:type="dxa" w:w="90"/>
              <w:bottom w:type="dxa" w:w="50"/>
              <w:right w:type="dxa" w:w="90"/>
            </w:tcMar>
          </w:tcPr>
          <w:p>
            <w:r>
              <w:rPr>
                <w:b w:val="false"/>
                <w:bCs w:val="false"/>
                <w:color w:val="000000"/>
                <w:sz w:val="18"/>
                <w:szCs w:val="18"/>
              </w:rPr>
              <w:t xml:space="preserve">Ouvre le rôle covariable de S1</w:t>
            </w:r>
          </w:p>
        </w:tc>
      </w:tr>
      <w:tr>
        <w:trPr>
          <w:tblHeader w:val="false"/>
        </w:trPr>
        <w:tc>
          <w:tcPr>
            <w:tcW w:type="dxa" w:w="2760"/>
            <w:tcMar>
              <w:top w:type="dxa" w:w="50"/>
              <w:left w:type="dxa" w:w="90"/>
              <w:bottom w:type="dxa" w:w="50"/>
              <w:right w:type="dxa" w:w="90"/>
            </w:tcMar>
          </w:tcPr>
          <w:p>
            <w:r>
              <w:rPr>
                <w:b w:val="false"/>
                <w:bCs w:val="false"/>
                <w:color w:val="000000"/>
                <w:sz w:val="18"/>
                <w:szCs w:val="18"/>
              </w:rPr>
              <w:t xml:space="preserve">Il faut une carte verticale continue</w:t>
            </w:r>
          </w:p>
        </w:tc>
        <w:tc>
          <w:tcPr>
            <w:tcW w:type="dxa" w:w="3680"/>
            <w:tcMar>
              <w:top w:type="dxa" w:w="50"/>
              <w:left w:type="dxa" w:w="90"/>
              <w:bottom w:type="dxa" w:w="50"/>
              <w:right w:type="dxa" w:w="90"/>
            </w:tcMar>
          </w:tcPr>
          <w:p>
            <w:r>
              <w:rPr>
                <w:b w:val="false"/>
                <w:bCs w:val="false"/>
                <w:color w:val="000000"/>
                <w:sz w:val="18"/>
                <w:szCs w:val="18"/>
              </w:rPr>
              <w:t xml:space="preserve">Un trend zonal net + processus est plus honnête</w:t>
            </w:r>
          </w:p>
        </w:tc>
        <w:tc>
          <w:tcPr>
            <w:tcW w:type="dxa" w:w="2760"/>
            <w:tcMar>
              <w:top w:type="dxa" w:w="50"/>
              <w:left w:type="dxa" w:w="90"/>
              <w:bottom w:type="dxa" w:w="50"/>
              <w:right w:type="dxa" w:w="90"/>
            </w:tcMar>
          </w:tcPr>
          <w:p>
            <w:r>
              <w:rPr>
                <w:b w:val="false"/>
                <w:bCs w:val="false"/>
                <w:color w:val="000000"/>
                <w:sz w:val="18"/>
                <w:szCs w:val="18"/>
              </w:rPr>
              <w:t xml:space="preserve">Recadre le livrable</w:t>
            </w:r>
          </w:p>
        </w:tc>
      </w:tr>
    </w:tbl>
    <w:p>
      <w:pPr>
        <w:pStyle w:val="Heading1"/>
        <w:spacing w:after="200" w:before="400"/>
      </w:pPr>
      <w:r>
        <w:t xml:space="preserve">13. Recommandations et plan d'action</w:t>
      </w:r>
    </w:p>
    <w:p>
      <w:pPr>
        <w:pStyle w:val="Heading2"/>
        <w:spacing w:after="150" w:before="300"/>
      </w:pPr>
      <w:r>
        <w:t xml:space="preserve">12.1 Niveau 1 — à faire maintenant (valeur haute, risque bas)</w:t>
      </w:r>
    </w:p>
    <w:p>
      <w:pPr>
        <w:pStyle w:val="ListParagraph"/>
        <w:numPr>
          <w:ilvl w:val="0"/>
          <w:numId w:val="1"/>
        </w:numPr>
        <w:spacing w:after="60"/>
      </w:pPr>
      <w:r>
        <w:t xml:space="preserve">UAV DoD 2022→2024 comme produit vertical PRINCIPAL, avec dé-aliasing par la nappe (via le laser). Traiter soigneusement DTM vs DSM (végétation/eau) et co-registrer sur sol stable.</w:t>
      </w:r>
    </w:p>
    <w:p>
      <w:pPr>
        <w:pStyle w:val="ListParagraph"/>
        <w:numPr>
          <w:ilvl w:val="0"/>
          <w:numId w:val="1"/>
        </w:numPr>
        <w:spacing w:after="60"/>
      </w:pPr>
      <w:r>
        <w:t xml:space="preserve">Analyse de la série laser : décomposition respiration vs trend, couplage à la nappe/précipitation ERA5, test de l'hypothèse avril→avril.</w:t>
      </w:r>
    </w:p>
    <w:p>
      <w:pPr>
        <w:pStyle w:val="Heading2"/>
        <w:spacing w:after="150" w:before="300"/>
      </w:pPr>
      <w:r>
        <w:t xml:space="preserve">12.2 Niveau 2 — S1/S2 reformulés (covariable)</w:t>
      </w:r>
    </w:p>
    <w:p>
      <w:pPr>
        <w:pStyle w:val="ListParagraph"/>
        <w:numPr>
          <w:ilvl w:val="0"/>
          <w:numId w:val="1"/>
        </w:numPr>
        <w:spacing w:after="60"/>
      </w:pPr>
      <w:r>
        <w:t xml:space="preserve">Séries de cohérence S1 + backscatter σ0 + NDWI S2 comme covariable hydrologique : upscaler la fonction de transfert du laser, corriger le DoD, cartographier la dynamique d'inondation (indicateur écologique).</w:t>
      </w:r>
    </w:p>
    <w:p>
      <w:pPr>
        <w:pStyle w:val="ListParagraph"/>
        <w:numPr>
          <w:ilvl w:val="0"/>
          <w:numId w:val="1"/>
        </w:numPr>
        <w:spacing w:after="60"/>
      </w:pPr>
      <w:r>
        <w:t xml:space="preserve">Conserver le Pipeline B comme borne/null-result et cross-check.</w:t>
      </w:r>
    </w:p>
    <w:p>
      <w:pPr>
        <w:pStyle w:val="Heading2"/>
        <w:spacing w:after="150" w:before="300"/>
      </w:pPr>
      <w:r>
        <w:t xml:space="preserve">12.3 Niveau 3 — perspectives (discussion / futur)</w:t>
      </w:r>
    </w:p>
    <w:p>
      <w:pPr>
        <w:pStyle w:val="ListParagraph"/>
        <w:numPr>
          <w:ilvl w:val="0"/>
          <w:numId w:val="1"/>
        </w:numPr>
        <w:spacing w:after="60"/>
      </w:pPr>
      <w:r>
        <w:t xml:space="preserve">Bande L (NISAR/SAOCOM) comme capteur physiquement correct pour l'avenir ;</w:t>
      </w:r>
    </w:p>
    <w:p>
      <w:pPr>
        <w:pStyle w:val="ListParagraph"/>
        <w:numPr>
          <w:ilvl w:val="0"/>
          <w:numId w:val="1"/>
        </w:numPr>
        <w:spacing w:after="60"/>
      </w:pPr>
      <w:r>
        <w:t xml:space="preserve">GEE/Planetary Computer pour l'archive d'eau (JRC/Landsat) et le traitement des covariables à l'échelle ;</w:t>
      </w:r>
    </w:p>
    <w:p>
      <w:pPr>
        <w:pStyle w:val="ListParagraph"/>
        <w:numPr>
          <w:ilvl w:val="0"/>
          <w:numId w:val="1"/>
        </w:numPr>
        <w:spacing w:after="60"/>
      </w:pPr>
      <w:r>
        <w:t xml:space="preserve">À terme : relier trend net + niveau de nappe aux flux de carbone (eddy-covariance existant sur site).</w:t>
      </w:r>
    </w:p>
    <w:p>
      <w:pPr>
        <w:pStyle w:val="Heading2"/>
        <w:spacing w:after="150" w:before="300"/>
      </w:pPr>
      <w:r>
        <w:t xml:space="preserve">12.4 Notebooks à produire (suite du dépôt)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24"/>
        <w:gridCol w:w="4784"/>
        <w:gridCol w:w="2392"/>
      </w:tblGrid>
      <w:tr>
        <w:trPr>
          <w:tblHeader/>
        </w:trPr>
        <w:tc>
          <w:tcPr>
            <w:tcW w:type="dxa" w:w="2024"/>
            <w:shd w:fill="2E7D6B" w:val="clear"/>
            <w:tcMar>
              <w:top w:type="dxa" w:w="50"/>
              <w:left w:type="dxa" w:w="90"/>
              <w:bottom w:type="dxa" w:w="50"/>
              <w:right w:type="dxa" w:w="90"/>
            </w:tcMar>
          </w:tcPr>
          <w:p>
            <w:r>
              <w:rPr>
                <w:b/>
                <w:bCs/>
                <w:color w:val="FFFFFF"/>
                <w:sz w:val="18"/>
                <w:szCs w:val="18"/>
              </w:rPr>
              <w:t xml:space="preserve">Notebook</w:t>
            </w:r>
          </w:p>
        </w:tc>
        <w:tc>
          <w:tcPr>
            <w:tcW w:type="dxa" w:w="4784"/>
            <w:shd w:fill="2E7D6B" w:val="clear"/>
            <w:tcMar>
              <w:top w:type="dxa" w:w="50"/>
              <w:left w:type="dxa" w:w="90"/>
              <w:bottom w:type="dxa" w:w="50"/>
              <w:right w:type="dxa" w:w="90"/>
            </w:tcMar>
          </w:tcPr>
          <w:p>
            <w:r>
              <w:rPr>
                <w:b/>
                <w:bCs/>
                <w:color w:val="FFFFFF"/>
                <w:sz w:val="18"/>
                <w:szCs w:val="18"/>
              </w:rPr>
              <w:t xml:space="preserve">Contenu</w:t>
            </w:r>
          </w:p>
        </w:tc>
        <w:tc>
          <w:tcPr>
            <w:tcW w:type="dxa" w:w="2392"/>
            <w:shd w:fill="2E7D6B" w:val="clear"/>
            <w:tcMar>
              <w:top w:type="dxa" w:w="50"/>
              <w:left w:type="dxa" w:w="90"/>
              <w:bottom w:type="dxa" w:w="50"/>
              <w:right w:type="dxa" w:w="90"/>
            </w:tcMar>
          </w:tcPr>
          <w:p>
            <w:r>
              <w:rPr>
                <w:b/>
                <w:bCs/>
                <w:color w:val="FFFFFF"/>
                <w:sz w:val="18"/>
                <w:szCs w:val="18"/>
              </w:rPr>
              <w:t xml:space="preserve">Dépendance</w:t>
            </w:r>
          </w:p>
        </w:tc>
      </w:tr>
      <w:tr>
        <w:trPr>
          <w:tblHeader w:val="false"/>
        </w:trPr>
        <w:tc>
          <w:tcPr>
            <w:tcW w:type="dxa" w:w="2024"/>
            <w:tcMar>
              <w:top w:type="dxa" w:w="50"/>
              <w:left w:type="dxa" w:w="90"/>
              <w:bottom w:type="dxa" w:w="50"/>
              <w:right w:type="dxa" w:w="90"/>
            </w:tcMar>
          </w:tcPr>
          <w:p>
            <w:r>
              <w:rPr>
                <w:b w:val="false"/>
                <w:bCs w:val="false"/>
                <w:color w:val="000000"/>
                <w:sz w:val="18"/>
                <w:szCs w:val="18"/>
              </w:rPr>
              <w:t xml:space="preserve">phase05b_laser</w:t>
            </w:r>
          </w:p>
        </w:tc>
        <w:tc>
          <w:tcPr>
            <w:tcW w:type="dxa" w:w="4784"/>
            <w:tcMar>
              <w:top w:type="dxa" w:w="50"/>
              <w:left w:type="dxa" w:w="90"/>
              <w:bottom w:type="dxa" w:w="50"/>
              <w:right w:type="dxa" w:w="90"/>
            </w:tcMar>
          </w:tcPr>
          <w:p>
            <w:r>
              <w:rPr>
                <w:b w:val="false"/>
                <w:bCs w:val="false"/>
                <w:color w:val="000000"/>
                <w:sz w:val="18"/>
                <w:szCs w:val="18"/>
              </w:rPr>
              <w:t xml:space="preserve">Ingestion laser, décomposition respiration/trend, couplage nappe</w:t>
            </w:r>
          </w:p>
        </w:tc>
        <w:tc>
          <w:tcPr>
            <w:tcW w:type="dxa" w:w="2392"/>
            <w:tcMar>
              <w:top w:type="dxa" w:w="50"/>
              <w:left w:type="dxa" w:w="90"/>
              <w:bottom w:type="dxa" w:w="50"/>
              <w:right w:type="dxa" w:w="90"/>
            </w:tcMar>
          </w:tcPr>
          <w:p>
            <w:r>
              <w:rPr>
                <w:b w:val="false"/>
                <w:bCs w:val="false"/>
                <w:color w:val="000000"/>
                <w:sz w:val="18"/>
                <w:szCs w:val="18"/>
              </w:rPr>
              <w:t xml:space="preserve">données laser</w:t>
            </w:r>
          </w:p>
        </w:tc>
      </w:tr>
      <w:tr>
        <w:trPr>
          <w:tblHeader w:val="false"/>
        </w:trPr>
        <w:tc>
          <w:tcPr>
            <w:tcW w:type="dxa" w:w="2024"/>
            <w:shd w:fill="F0F0F0" w:val="clear"/>
            <w:tcMar>
              <w:top w:type="dxa" w:w="50"/>
              <w:left w:type="dxa" w:w="90"/>
              <w:bottom w:type="dxa" w:w="50"/>
              <w:right w:type="dxa" w:w="90"/>
            </w:tcMar>
          </w:tcPr>
          <w:p>
            <w:r>
              <w:rPr>
                <w:b w:val="false"/>
                <w:bCs w:val="false"/>
                <w:color w:val="000000"/>
                <w:sz w:val="18"/>
                <w:szCs w:val="18"/>
              </w:rPr>
              <w:t xml:space="preserve">phase06b_uav_dod</w:t>
            </w:r>
          </w:p>
        </w:tc>
        <w:tc>
          <w:tcPr>
            <w:tcW w:type="dxa" w:w="4784"/>
            <w:shd w:fill="F0F0F0" w:val="clear"/>
            <w:tcMar>
              <w:top w:type="dxa" w:w="50"/>
              <w:left w:type="dxa" w:w="90"/>
              <w:bottom w:type="dxa" w:w="50"/>
              <w:right w:type="dxa" w:w="90"/>
            </w:tcMar>
          </w:tcPr>
          <w:p>
            <w:r>
              <w:rPr>
                <w:b w:val="false"/>
                <w:bCs w:val="false"/>
                <w:color w:val="000000"/>
                <w:sz w:val="18"/>
                <w:szCs w:val="18"/>
              </w:rPr>
              <w:t xml:space="preserve">DTM/DSM, co-registration, DoD, dé-aliasing par nappe, masquage S2</w:t>
            </w:r>
          </w:p>
        </w:tc>
        <w:tc>
          <w:tcPr>
            <w:tcW w:type="dxa" w:w="2392"/>
            <w:shd w:fill="F0F0F0" w:val="clear"/>
            <w:tcMar>
              <w:top w:type="dxa" w:w="50"/>
              <w:left w:type="dxa" w:w="90"/>
              <w:bottom w:type="dxa" w:w="50"/>
              <w:right w:type="dxa" w:w="90"/>
            </w:tcMar>
          </w:tcPr>
          <w:p>
            <w:r>
              <w:rPr>
                <w:b w:val="false"/>
                <w:bCs w:val="false"/>
                <w:color w:val="000000"/>
                <w:sz w:val="18"/>
                <w:szCs w:val="18"/>
              </w:rPr>
              <w:t xml:space="preserve">données drone</w:t>
            </w:r>
          </w:p>
        </w:tc>
      </w:tr>
      <w:tr>
        <w:trPr>
          <w:tblHeader w:val="false"/>
        </w:trPr>
        <w:tc>
          <w:tcPr>
            <w:tcW w:type="dxa" w:w="2024"/>
            <w:tcMar>
              <w:top w:type="dxa" w:w="50"/>
              <w:left w:type="dxa" w:w="90"/>
              <w:bottom w:type="dxa" w:w="50"/>
              <w:right w:type="dxa" w:w="90"/>
            </w:tcMar>
          </w:tcPr>
          <w:p>
            <w:r>
              <w:rPr>
                <w:b w:val="false"/>
                <w:bCs w:val="false"/>
                <w:color w:val="000000"/>
                <w:sz w:val="18"/>
                <w:szCs w:val="18"/>
              </w:rPr>
              <w:t xml:space="preserve">phase07b_covariate</w:t>
            </w:r>
          </w:p>
        </w:tc>
        <w:tc>
          <w:tcPr>
            <w:tcW w:type="dxa" w:w="4784"/>
            <w:tcMar>
              <w:top w:type="dxa" w:w="50"/>
              <w:left w:type="dxa" w:w="90"/>
              <w:bottom w:type="dxa" w:w="50"/>
              <w:right w:type="dxa" w:w="90"/>
            </w:tcMar>
          </w:tcPr>
          <w:p>
            <w:r>
              <w:rPr>
                <w:b w:val="false"/>
                <w:bCs w:val="false"/>
                <w:color w:val="000000"/>
                <w:sz w:val="18"/>
                <w:szCs w:val="18"/>
              </w:rPr>
              <w:t xml:space="preserve">Séries cohérence/σ0/NDWI comme covariable hydrologique, upscaling</w:t>
            </w:r>
          </w:p>
        </w:tc>
        <w:tc>
          <w:tcPr>
            <w:tcW w:type="dxa" w:w="2392"/>
            <w:tcMar>
              <w:top w:type="dxa" w:w="50"/>
              <w:left w:type="dxa" w:w="90"/>
              <w:bottom w:type="dxa" w:w="50"/>
              <w:right w:type="dxa" w:w="90"/>
            </w:tcMar>
          </w:tcPr>
          <w:p>
            <w:r>
              <w:rPr>
                <w:b w:val="false"/>
                <w:bCs w:val="false"/>
                <w:color w:val="000000"/>
                <w:sz w:val="18"/>
                <w:szCs w:val="18"/>
              </w:rPr>
              <w:t xml:space="preserve">S1/S2 (acquis)</w:t>
            </w:r>
          </w:p>
        </w:tc>
      </w:tr>
      <w:tr>
        <w:trPr>
          <w:tblHeader w:val="false"/>
        </w:trPr>
        <w:tc>
          <w:tcPr>
            <w:tcW w:type="dxa" w:w="2024"/>
            <w:shd w:fill="F0F0F0" w:val="clear"/>
            <w:tcMar>
              <w:top w:type="dxa" w:w="50"/>
              <w:left w:type="dxa" w:w="90"/>
              <w:bottom w:type="dxa" w:w="50"/>
              <w:right w:type="dxa" w:w="90"/>
            </w:tcMar>
          </w:tcPr>
          <w:p>
            <w:r>
              <w:rPr>
                <w:b w:val="false"/>
                <w:bCs w:val="false"/>
                <w:color w:val="000000"/>
                <w:sz w:val="18"/>
                <w:szCs w:val="18"/>
              </w:rPr>
              <w:t xml:space="preserve">phase08b_fusion</w:t>
            </w:r>
          </w:p>
        </w:tc>
        <w:tc>
          <w:tcPr>
            <w:tcW w:type="dxa" w:w="4784"/>
            <w:shd w:fill="F0F0F0" w:val="clear"/>
            <w:tcMar>
              <w:top w:type="dxa" w:w="50"/>
              <w:left w:type="dxa" w:w="90"/>
              <w:bottom w:type="dxa" w:w="50"/>
              <w:right w:type="dxa" w:w="90"/>
            </w:tcMar>
          </w:tcPr>
          <w:p>
            <w:r>
              <w:rPr>
                <w:b w:val="false"/>
                <w:bCs w:val="false"/>
                <w:color w:val="000000"/>
                <w:sz w:val="18"/>
                <w:szCs w:val="18"/>
              </w:rPr>
              <w:t xml:space="preserve">Fusion 3 capteurs, carte vertical net + incertitude, validation laser</w:t>
            </w:r>
          </w:p>
        </w:tc>
        <w:tc>
          <w:tcPr>
            <w:tcW w:type="dxa" w:w="2392"/>
            <w:shd w:fill="F0F0F0" w:val="clear"/>
            <w:tcMar>
              <w:top w:type="dxa" w:w="50"/>
              <w:left w:type="dxa" w:w="90"/>
              <w:bottom w:type="dxa" w:w="50"/>
              <w:right w:type="dxa" w:w="90"/>
            </w:tcMar>
          </w:tcPr>
          <w:p>
            <w:r>
              <w:rPr>
                <w:b w:val="false"/>
                <w:bCs w:val="false"/>
                <w:color w:val="000000"/>
                <w:sz w:val="18"/>
                <w:szCs w:val="18"/>
              </w:rPr>
              <w:t xml:space="preserve">05b–07b</w:t>
            </w:r>
          </w:p>
        </w:tc>
      </w:tr>
    </w:tbl>
    <w:p>
      <w:pPr>
        <w:pStyle w:val="Heading1"/>
        <w:spacing w:after="200" w:before="400"/>
      </w:pPr>
      <w:r>
        <w:t xml:space="preserve">14. Évaluation critique de la stratégie globale</w:t>
      </w:r>
    </w:p>
    <w:p>
      <w:pPr>
        <w:pStyle w:val="Heading2"/>
        <w:spacing w:after="150" w:before="300"/>
      </w:pPr>
      <w:r>
        <w:t xml:space="preserve">13.1 Ce qui a été bien fait</w:t>
      </w:r>
    </w:p>
    <w:p>
      <w:pPr>
        <w:pStyle w:val="ListParagraph"/>
        <w:numPr>
          <w:ilvl w:val="0"/>
          <w:numId w:val="1"/>
        </w:numPr>
        <w:spacing w:after="60"/>
      </w:pPr>
      <w:r>
        <w:t xml:space="preserve">Rigueur reproductible (package testé, config centralisée, git/Colab, tests synthétiques systématiques) ;</w:t>
      </w:r>
    </w:p>
    <w:p>
      <w:pPr>
        <w:pStyle w:val="ListParagraph"/>
        <w:numPr>
          <w:ilvl w:val="0"/>
          <w:numId w:val="1"/>
        </w:numPr>
        <w:spacing w:after="60"/>
      </w:pPr>
      <w:r>
        <w:t xml:space="preserve">Diagnostic honnête et documenté des échecs (les 8 blocages classés) plutôt que dissimulation ;</w:t>
      </w:r>
    </w:p>
    <w:p>
      <w:pPr>
        <w:pStyle w:val="ListParagraph"/>
        <w:numPr>
          <w:ilvl w:val="0"/>
          <w:numId w:val="1"/>
        </w:numPr>
        <w:spacing w:after="60"/>
      </w:pPr>
      <w:r>
        <w:t xml:space="preserve">Améliorations quantitatives réelles sur l'état de l'art (sélection ERA5, top-k, deramp, incertitude).</w:t>
      </w:r>
    </w:p>
    <w:p>
      <w:pPr>
        <w:pStyle w:val="Heading2"/>
        <w:spacing w:after="150" w:before="300"/>
      </w:pPr>
      <w:r>
        <w:t xml:space="preserve">13.2 Ce qui aurait dû être questionné plus tôt</w:t>
      </w:r>
    </w:p>
    <w:p>
      <w:pPr>
        <w:pStyle w:val="ListParagraph"/>
        <w:numPr>
          <w:ilvl w:val="0"/>
          <w:numId w:val="1"/>
        </w:numPr>
        <w:spacing w:after="60"/>
      </w:pPr>
      <w:r>
        <w:t xml:space="preserve">L'observabilité physique de la grandeur cherchée AVANT d'investir 2 mois dans MintPy : une analyse first-principles du centre de phase sur fen inondé aurait réorienté plus vite ;</w:t>
      </w:r>
    </w:p>
    <w:p>
      <w:pPr>
        <w:pStyle w:val="ListParagraph"/>
        <w:numPr>
          <w:ilvl w:val="0"/>
          <w:numId w:val="1"/>
        </w:numPr>
        <w:spacing w:after="60"/>
      </w:pPr>
      <w:r>
        <w:t xml:space="preserve">La nature flottante du site et le confounding nappe/subsidence auraient dû cadrer l'objectif dès le départ ;</w:t>
      </w:r>
    </w:p>
    <w:p>
      <w:pPr>
        <w:pStyle w:val="ListParagraph"/>
        <w:numPr>
          <w:ilvl w:val="0"/>
          <w:numId w:val="1"/>
        </w:numPr>
        <w:spacing w:after="60"/>
      </w:pPr>
      <w:r>
        <w:t xml:space="preserve">Le rôle du laser/drone comme mesure PRINCIPALE (et non validation) du vertical.</w:t>
      </w:r>
    </w:p>
    <w:p>
      <w:pPr>
        <w:pStyle w:val="Heading2"/>
        <w:spacing w:after="150" w:before="300"/>
      </w:pPr>
      <w:r>
        <w:t xml:space="preserve">13.3 La valeur scientifique du parcours</w:t>
      </w:r>
    </w:p>
    <w:p>
      <w:pPr>
        <w:spacing w:after="120"/>
      </w:pPr>
      <w:r>
        <w:t xml:space="preserve">Le projet produit deux contributions publiables : (1) un cas d'étude documenté des limites physiques de l'InSAR bande C sur petit fen flottant — un contre-point utile aux succès publiés sur grands fens drainés ; (2) une architecture de fusion multi-capteurs où l'InSAR devient covariable hydrologique, transférable à d'autres tourbières humides. L'échec de l'approche standard EST une partie du résultat.</w:t>
      </w:r>
    </w:p>
    <w:p>
      <w:pPr>
        <w:pStyle w:val="Heading1"/>
        <w:spacing w:after="200" w:before="400"/>
      </w:pPr>
      <w:r>
        <w:t xml:space="preserve">15. Conclusion et perspectives</w:t>
      </w:r>
    </w:p>
    <w:p>
      <w:pPr>
        <w:spacing w:after="120"/>
      </w:pPr>
      <w:r>
        <w:t xml:space="preserve">Rzecin ne se prête pas à la mesure directe du déplacement vertical par InSAR Sentinel-1 en bande C : ce n'est pas un problème d'outil mais d'observabilité physique, propre à un fen transitionnel flottant à nappe émergente. Le résultat InSAR (taux net ≈ 0 ± grand) est cohérent avec une tourbière préservée dont le mouvement est une respiration hydrologique réversible.</w:t>
      </w:r>
    </w:p>
    <w:p>
      <w:pPr>
        <w:spacing w:after="120"/>
      </w:pPr>
      <w:r>
        <w:t xml:space="preserve">La voie réaliste combine le laser (modèle temporel), le drone (vérité spatiale du changement net) et Sentinel-1/2 (covariable hydrologique spatio-temporelle). Cette réorientation, née d'une analyse depuis les premiers principes, transforme une série d'échecs en une stratégie cohérente — et positionne le site pour exploiter la bande L (NISAR) dès que les archives le permettront.</w:t>
      </w:r>
    </w:p>
    <w:p>
      <w:pPr>
        <w:pBdr>
          <w:left w:val="single" w:color="1F3864" w:sz="18" w:space="10"/>
        </w:pBdr>
        <w:spacing w:after="200" w:before="120"/>
      </w:pPr>
      <w:r>
        <w:rPr>
          <w:b/>
          <w:bCs/>
        </w:rPr>
        <w:t xml:space="preserve">Message final : </w:t>
      </w:r>
      <w:r>
        <w:t xml:space="preserve">la bonne question n'était pas « comment forcer l'InSAR à donner le vertical ? » mais « quel capteur observe réellement le vertical ici, et que peut faire l'InSAR à la place ? ». Y répondre honnêtement est le principal acquis de ce projet.</w:t>
      </w:r>
    </w:p>
    <w:p>
      <w:r>
        <w:br w:type="page"/>
      </w:r>
    </w:p>
    <w:p>
      <w:pPr>
        <w:pStyle w:val="Heading1"/>
        <w:spacing w:after="200" w:before="400"/>
      </w:pPr>
      <w:r>
        <w:t xml:space="preserve">Annexes</w:t>
      </w:r>
    </w:p>
    <w:p>
      <w:pPr>
        <w:pStyle w:val="Heading2"/>
        <w:spacing w:after="150" w:before="300"/>
      </w:pPr>
      <w:r>
        <w:t xml:space="preserve">A. Chiffres clés du projet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60"/>
        <w:gridCol w:w="4140"/>
      </w:tblGrid>
      <w:tr>
        <w:trPr>
          <w:tblHeader/>
        </w:trPr>
        <w:tc>
          <w:tcPr>
            <w:tcW w:type="dxa" w:w="5060"/>
            <w:shd w:fill="1F3864" w:val="clear"/>
            <w:tcMar>
              <w:top w:type="dxa" w:w="50"/>
              <w:left w:type="dxa" w:w="90"/>
              <w:bottom w:type="dxa" w:w="50"/>
              <w:right w:type="dxa" w:w="90"/>
            </w:tcMar>
          </w:tcPr>
          <w:p>
            <w:r>
              <w:rPr>
                <w:b/>
                <w:bCs/>
                <w:color w:val="FFFFFF"/>
                <w:sz w:val="18"/>
                <w:szCs w:val="18"/>
              </w:rPr>
              <w:t xml:space="preserve">Élément</w:t>
            </w:r>
          </w:p>
        </w:tc>
        <w:tc>
          <w:tcPr>
            <w:tcW w:type="dxa" w:w="4140"/>
            <w:shd w:fill="1F3864" w:val="clear"/>
            <w:tcMar>
              <w:top w:type="dxa" w:w="50"/>
              <w:left w:type="dxa" w:w="90"/>
              <w:bottom w:type="dxa" w:w="50"/>
              <w:right w:type="dxa" w:w="90"/>
            </w:tcMar>
          </w:tcPr>
          <w:p>
            <w:r>
              <w:rPr>
                <w:b/>
                <w:bCs/>
                <w:color w:val="FFFFFF"/>
                <w:sz w:val="18"/>
                <w:szCs w:val="18"/>
              </w:rPr>
              <w:t xml:space="preserve">Valeur</w:t>
            </w:r>
          </w:p>
        </w:tc>
      </w:tr>
      <w:tr>
        <w:trPr>
          <w:tblHeader w:val="false"/>
        </w:trPr>
        <w:tc>
          <w:tcPr>
            <w:tcW w:type="dxa" w:w="5060"/>
            <w:tcMar>
              <w:top w:type="dxa" w:w="50"/>
              <w:left w:type="dxa" w:w="90"/>
              <w:bottom w:type="dxa" w:w="50"/>
              <w:right w:type="dxa" w:w="90"/>
            </w:tcMar>
          </w:tcPr>
          <w:p>
            <w:r>
              <w:rPr>
                <w:b w:val="false"/>
                <w:bCs w:val="false"/>
                <w:color w:val="000000"/>
                <w:sz w:val="18"/>
                <w:szCs w:val="18"/>
              </w:rPr>
              <w:t xml:space="preserve">Superficie AOI</w:t>
            </w:r>
          </w:p>
        </w:tc>
        <w:tc>
          <w:tcPr>
            <w:tcW w:type="dxa" w:w="4140"/>
            <w:tcMar>
              <w:top w:type="dxa" w:w="50"/>
              <w:left w:type="dxa" w:w="90"/>
              <w:bottom w:type="dxa" w:w="50"/>
              <w:right w:type="dxa" w:w="90"/>
            </w:tcMar>
          </w:tcPr>
          <w:p>
            <w:r>
              <w:rPr>
                <w:b w:val="false"/>
                <w:bCs w:val="false"/>
                <w:color w:val="000000"/>
                <w:sz w:val="18"/>
                <w:szCs w:val="18"/>
              </w:rPr>
              <w:t xml:space="preserve">~89.7 ha (~564 px à 80 m)</w:t>
            </w:r>
          </w:p>
        </w:tc>
      </w:tr>
      <w:tr>
        <w:trPr>
          <w:tblHeader w:val="false"/>
        </w:trPr>
        <w:tc>
          <w:tcPr>
            <w:tcW w:type="dxa" w:w="5060"/>
            <w:shd w:fill="F0F0F0" w:val="clear"/>
            <w:tcMar>
              <w:top w:type="dxa" w:w="50"/>
              <w:left w:type="dxa" w:w="90"/>
              <w:bottom w:type="dxa" w:w="50"/>
              <w:right w:type="dxa" w:w="90"/>
            </w:tcMar>
          </w:tcPr>
          <w:p>
            <w:r>
              <w:rPr>
                <w:b w:val="false"/>
                <w:bCs w:val="false"/>
                <w:color w:val="000000"/>
                <w:sz w:val="18"/>
                <w:szCs w:val="18"/>
              </w:rPr>
              <w:t xml:space="preserve">Dates S1 (2022–2024)</w:t>
            </w:r>
          </w:p>
        </w:tc>
        <w:tc>
          <w:tcPr>
            <w:tcW w:type="dxa" w:w="4140"/>
            <w:shd w:fill="F0F0F0" w:val="clear"/>
            <w:tcMar>
              <w:top w:type="dxa" w:w="50"/>
              <w:left w:type="dxa" w:w="90"/>
              <w:bottom w:type="dxa" w:w="50"/>
              <w:right w:type="dxa" w:w="90"/>
            </w:tcMar>
          </w:tcPr>
          <w:p>
            <w:r>
              <w:rPr>
                <w:b w:val="false"/>
                <w:bCs w:val="false"/>
                <w:color w:val="000000"/>
                <w:sz w:val="18"/>
                <w:szCs w:val="18"/>
              </w:rPr>
              <w:t xml:space="preserve">91 (cycle 12 j, S1A seul)</w:t>
            </w:r>
          </w:p>
        </w:tc>
      </w:tr>
      <w:tr>
        <w:trPr>
          <w:tblHeader w:val="false"/>
        </w:trPr>
        <w:tc>
          <w:tcPr>
            <w:tcW w:type="dxa" w:w="5060"/>
            <w:tcMar>
              <w:top w:type="dxa" w:w="50"/>
              <w:left w:type="dxa" w:w="90"/>
              <w:bottom w:type="dxa" w:w="50"/>
              <w:right w:type="dxa" w:w="90"/>
            </w:tcMar>
          </w:tcPr>
          <w:p>
            <w:r>
              <w:rPr>
                <w:b w:val="false"/>
                <w:bCs w:val="false"/>
                <w:color w:val="000000"/>
                <w:sz w:val="18"/>
                <w:szCs w:val="18"/>
              </w:rPr>
              <w:t xml:space="preserve">Paires SBAS ≤48 j</w:t>
            </w:r>
          </w:p>
        </w:tc>
        <w:tc>
          <w:tcPr>
            <w:tcW w:type="dxa" w:w="4140"/>
            <w:tcMar>
              <w:top w:type="dxa" w:w="50"/>
              <w:left w:type="dxa" w:w="90"/>
              <w:bottom w:type="dxa" w:w="50"/>
              <w:right w:type="dxa" w:w="90"/>
            </w:tcMar>
          </w:tcPr>
          <w:p>
            <w:r>
              <w:rPr>
                <w:b w:val="false"/>
                <w:bCs w:val="false"/>
                <w:color w:val="000000"/>
                <w:sz w:val="18"/>
                <w:szCs w:val="18"/>
              </w:rPr>
              <w:t xml:space="preserve">354</w:t>
            </w:r>
          </w:p>
        </w:tc>
      </w:tr>
      <w:tr>
        <w:trPr>
          <w:tblHeader w:val="false"/>
        </w:trPr>
        <w:tc>
          <w:tcPr>
            <w:tcW w:type="dxa" w:w="5060"/>
            <w:shd w:fill="F0F0F0" w:val="clear"/>
            <w:tcMar>
              <w:top w:type="dxa" w:w="50"/>
              <w:left w:type="dxa" w:w="90"/>
              <w:bottom w:type="dxa" w:w="50"/>
              <w:right w:type="dxa" w:w="90"/>
            </w:tcMar>
          </w:tcPr>
          <w:p>
            <w:r>
              <w:rPr>
                <w:b w:val="false"/>
                <w:bCs w:val="false"/>
                <w:color w:val="000000"/>
                <w:sz w:val="18"/>
                <w:szCs w:val="18"/>
              </w:rPr>
              <w:t xml:space="preserve">Pixels SBAS résolus</w:t>
            </w:r>
          </w:p>
        </w:tc>
        <w:tc>
          <w:tcPr>
            <w:tcW w:type="dxa" w:w="4140"/>
            <w:shd w:fill="F0F0F0" w:val="clear"/>
            <w:tcMar>
              <w:top w:type="dxa" w:w="50"/>
              <w:left w:type="dxa" w:w="90"/>
              <w:bottom w:type="dxa" w:w="50"/>
              <w:right w:type="dxa" w:w="90"/>
            </w:tcMar>
          </w:tcPr>
          <w:p>
            <w:r>
              <w:rPr>
                <w:b w:val="false"/>
                <w:bCs w:val="false"/>
                <w:color w:val="000000"/>
                <w:sz w:val="18"/>
                <w:szCs w:val="18"/>
              </w:rPr>
              <w:t xml:space="preserve">182 (hors tourbière)</w:t>
            </w:r>
          </w:p>
        </w:tc>
      </w:tr>
      <w:tr>
        <w:trPr>
          <w:tblHeader w:val="false"/>
        </w:trPr>
        <w:tc>
          <w:tcPr>
            <w:tcW w:type="dxa" w:w="5060"/>
            <w:tcMar>
              <w:top w:type="dxa" w:w="50"/>
              <w:left w:type="dxa" w:w="90"/>
              <w:bottom w:type="dxa" w:w="50"/>
              <w:right w:type="dxa" w:w="90"/>
            </w:tcMar>
          </w:tcPr>
          <w:p>
            <w:r>
              <w:rPr>
                <w:b w:val="false"/>
                <w:bCs w:val="false"/>
                <w:color w:val="000000"/>
                <w:sz w:val="18"/>
                <w:szCs w:val="18"/>
              </w:rPr>
              <w:t xml:space="preserve">Paires annuelles Pipeline B</w:t>
            </w:r>
          </w:p>
        </w:tc>
        <w:tc>
          <w:tcPr>
            <w:tcW w:type="dxa" w:w="4140"/>
            <w:tcMar>
              <w:top w:type="dxa" w:w="50"/>
              <w:left w:type="dxa" w:w="90"/>
              <w:bottom w:type="dxa" w:w="50"/>
              <w:right w:type="dxa" w:w="90"/>
            </w:tcMar>
          </w:tcPr>
          <w:p>
            <w:r>
              <w:rPr>
                <w:b w:val="false"/>
                <w:bCs w:val="false"/>
                <w:color w:val="000000"/>
                <w:sz w:val="18"/>
                <w:szCs w:val="18"/>
              </w:rPr>
              <w:t xml:space="preserve">9 uniques (top-3 × 3 transitions)</w:t>
            </w:r>
          </w:p>
        </w:tc>
      </w:tr>
      <w:tr>
        <w:trPr>
          <w:tblHeader w:val="false"/>
        </w:trPr>
        <w:tc>
          <w:tcPr>
            <w:tcW w:type="dxa" w:w="5060"/>
            <w:shd w:fill="F0F0F0" w:val="clear"/>
            <w:tcMar>
              <w:top w:type="dxa" w:w="50"/>
              <w:left w:type="dxa" w:w="90"/>
              <w:bottom w:type="dxa" w:w="50"/>
              <w:right w:type="dxa" w:w="90"/>
            </w:tcMar>
          </w:tcPr>
          <w:p>
            <w:r>
              <w:rPr>
                <w:b w:val="false"/>
                <w:bCs w:val="false"/>
                <w:color w:val="000000"/>
                <w:sz w:val="18"/>
                <w:szCs w:val="18"/>
              </w:rPr>
              <w:t xml:space="preserve">Taux net AOI (Pipeline B)</w:t>
            </w:r>
          </w:p>
        </w:tc>
        <w:tc>
          <w:tcPr>
            <w:tcW w:type="dxa" w:w="4140"/>
            <w:shd w:fill="F0F0F0" w:val="clear"/>
            <w:tcMar>
              <w:top w:type="dxa" w:w="50"/>
              <w:left w:type="dxa" w:w="90"/>
              <w:bottom w:type="dxa" w:w="50"/>
              <w:right w:type="dxa" w:w="90"/>
            </w:tcMar>
          </w:tcPr>
          <w:p>
            <w:r>
              <w:rPr>
                <w:b w:val="false"/>
                <w:bCs w:val="false"/>
                <w:color w:val="000000"/>
                <w:sz w:val="18"/>
                <w:szCs w:val="18"/>
              </w:rPr>
              <w:t xml:space="preserve">−4.5 mm/an ± IQR 18.9</w:t>
            </w:r>
          </w:p>
        </w:tc>
      </w:tr>
      <w:tr>
        <w:trPr>
          <w:tblHeader w:val="false"/>
        </w:trPr>
        <w:tc>
          <w:tcPr>
            <w:tcW w:type="dxa" w:w="5060"/>
            <w:tcMar>
              <w:top w:type="dxa" w:w="50"/>
              <w:left w:type="dxa" w:w="90"/>
              <w:bottom w:type="dxa" w:w="50"/>
              <w:right w:type="dxa" w:w="90"/>
            </w:tcMar>
          </w:tcPr>
          <w:p>
            <w:r>
              <w:rPr>
                <w:b w:val="false"/>
                <w:bCs w:val="false"/>
                <w:color w:val="000000"/>
                <w:sz w:val="18"/>
                <w:szCs w:val="18"/>
              </w:rPr>
              <w:t xml:space="preserve">Écart ensemble vs WLS</w:t>
            </w:r>
          </w:p>
        </w:tc>
        <w:tc>
          <w:tcPr>
            <w:tcW w:type="dxa" w:w="4140"/>
            <w:tcMar>
              <w:top w:type="dxa" w:w="50"/>
              <w:left w:type="dxa" w:w="90"/>
              <w:bottom w:type="dxa" w:w="50"/>
              <w:right w:type="dxa" w:w="90"/>
            </w:tcMar>
          </w:tcPr>
          <w:p>
            <w:r>
              <w:rPr>
                <w:b w:val="false"/>
                <w:bCs w:val="false"/>
                <w:color w:val="000000"/>
                <w:sz w:val="18"/>
                <w:szCs w:val="18"/>
              </w:rPr>
              <w:t xml:space="preserve">+1.7 mm/an</w:t>
            </w:r>
          </w:p>
        </w:tc>
      </w:tr>
    </w:tbl>
    <w:p>
      <w:pPr>
        <w:pStyle w:val="Heading2"/>
        <w:spacing w:after="150" w:before="300"/>
      </w:pPr>
      <w:r>
        <w:t xml:space="preserve">B. Modules de code livrés (src/insar_wetlands)</w:t>
      </w:r>
    </w:p>
    <w:p>
      <w:pPr>
        <w:spacing w:after="120"/>
      </w:pPr>
      <w:r>
        <w:rPr>
          <w:sz w:val="20"/>
          <w:szCs w:val="20"/>
        </w:rPr>
        <w:t xml:space="preserve">config, aoi, acquisition (s1, era5), hyp3 (jobs, products), network, stack, masking (s2_fusion, rtc, water_mask), classify, quality, compare, inversion (sbas_mintpy, isbas), geometry, atmosphere, annual_pairs, utils/manifest. Tests synthétiques : tests/test_synthetic_inversion.py (passant après chaque modification).</w:t>
      </w:r>
    </w:p>
    <w:p>
      <w:pPr>
        <w:pStyle w:val="Heading2"/>
        <w:spacing w:after="150" w:before="300"/>
      </w:pPr>
      <w:r>
        <w:t xml:space="preserve">C. Documents associés dans le dépôt</w:t>
      </w:r>
    </w:p>
    <w:p>
      <w:pPr>
        <w:pStyle w:val="ListParagraph"/>
        <w:numPr>
          <w:ilvl w:val="0"/>
          <w:numId w:val="1"/>
        </w:numPr>
        <w:spacing w:after="60"/>
      </w:pPr>
      <w:r>
        <w:t xml:space="preserve">docs/plan_these_article.md — plan détaillé de thèse/article (structure échec → solution → validation) ;</w:t>
      </w:r>
    </w:p>
    <w:p>
      <w:pPr>
        <w:pStyle w:val="ListParagraph"/>
        <w:numPr>
          <w:ilvl w:val="0"/>
          <w:numId w:val="1"/>
        </w:numPr>
        <w:spacing w:after="60"/>
      </w:pPr>
      <w:r>
        <w:t xml:space="preserve">docs/revue_critique_litterature.md — revue critique détaillée avec étiquetage fait/hypothèse/interprétation et références ;</w:t>
      </w:r>
    </w:p>
    <w:p>
      <w:pPr>
        <w:pStyle w:val="ListParagraph"/>
        <w:numPr>
          <w:ilvl w:val="0"/>
          <w:numId w:val="1"/>
        </w:numPr>
        <w:spacing w:after="60"/>
      </w:pPr>
      <w:r>
        <w:t xml:space="preserve">notebooks/phase01–15 et phase01b–04b — chaîne complète reproductible ;</w:t>
      </w:r>
    </w:p>
    <w:p>
      <w:pPr>
        <w:pStyle w:val="ListParagraph"/>
        <w:numPr>
          <w:ilvl w:val="0"/>
          <w:numId w:val="1"/>
        </w:numPr>
        <w:spacing w:after="60"/>
      </w:pPr>
      <w:r>
        <w:t xml:space="preserve">Ce rapport — synthèse générale.</w:t>
      </w:r>
    </w:p>
    <w:p>
      <w:pPr>
        <w:pStyle w:val="Heading2"/>
        <w:spacing w:after="150" w:before="300"/>
      </w:pPr>
      <w:r>
        <w:t xml:space="preserve">D. Références clés mobilisées</w:t>
      </w:r>
    </w:p>
    <w:p>
      <w:pPr>
        <w:pStyle w:val="ListParagraph"/>
        <w:numPr>
          <w:ilvl w:val="0"/>
          <w:numId w:val="1"/>
        </w:numPr>
        <w:spacing w:after="60"/>
      </w:pPr>
      <w:r>
        <w:t xml:space="preserve">Hrysiewicz A. et al. (2024). Estimation and validation of InSAR-derived surface displacements at temperate raised peatlands. Remote Sensing of Environment 291 (C-band, r=0.8–0.9, RMSE ~7 mm/an, respiration 10–40 mm).</w:t>
      </w:r>
    </w:p>
    <w:p>
      <w:pPr>
        <w:pStyle w:val="ListParagraph"/>
        <w:numPr>
          <w:ilvl w:val="0"/>
          <w:numId w:val="1"/>
        </w:numPr>
        <w:spacing w:after="60"/>
      </w:pPr>
      <w:r>
        <w:t xml:space="preserve">Hong S.-H., Wdowinski S. (2014). Double-bounce component in cross-polarimetric SAR. IEEE TGRS (mécanisme double-bounce en zone humide).</w:t>
      </w:r>
    </w:p>
    <w:p>
      <w:pPr>
        <w:pStyle w:val="ListParagraph"/>
        <w:numPr>
          <w:ilvl w:val="0"/>
          <w:numId w:val="1"/>
        </w:numPr>
        <w:spacing w:after="60"/>
      </w:pPr>
      <w:r>
        <w:t xml:space="preserve">Wdowinski S., Hong S.-H. Wetland InSAR: a review of the technique and applications (phase = niveau d'eau sur végétation inondée).</w:t>
      </w:r>
    </w:p>
    <w:p>
      <w:pPr>
        <w:pStyle w:val="ListParagraph"/>
        <w:numPr>
          <w:ilvl w:val="0"/>
          <w:numId w:val="1"/>
        </w:numPr>
        <w:spacing w:after="60"/>
      </w:pPr>
      <w:r>
        <w:t xml:space="preserve">Ghezelayagh P. et al. (2024). Ecological Indicators 166:112305 (Biebrza, seasonal-annual, −1.44 cm/an — fen drainé, référence initiale).</w:t>
      </w:r>
    </w:p>
    <w:p>
      <w:pPr>
        <w:pStyle w:val="ListParagraph"/>
        <w:numPr>
          <w:ilvl w:val="0"/>
          <w:numId w:val="1"/>
        </w:numPr>
        <w:spacing w:after="60"/>
      </w:pPr>
      <w:r>
        <w:t xml:space="preserve">« Modelling water table depth at rewetted peatlands with Sentinel-1 and Sentinel-2 » (2025) — appui direct à la reformulation covariable.</w:t>
      </w:r>
    </w:p>
    <w:p>
      <w:pPr>
        <w:pStyle w:val="ListParagraph"/>
        <w:numPr>
          <w:ilvl w:val="0"/>
          <w:numId w:val="1"/>
        </w:numPr>
        <w:spacing w:after="60"/>
      </w:pPr>
      <w:r>
        <w:t xml:space="preserve">« Sentinel-1 interferometric coherence as a vegetation index » (2022), Remote Sensing of Environment.</w:t>
      </w:r>
    </w:p>
    <w:p>
      <w:pPr>
        <w:pStyle w:val="ListParagraph"/>
        <w:numPr>
          <w:ilvl w:val="0"/>
          <w:numId w:val="1"/>
        </w:numPr>
        <w:spacing w:after="60"/>
      </w:pPr>
      <w:r>
        <w:t xml:space="preserve">Étude PlanetScope sur Rzecin (2017–2023), MDPI Remote Sensing 18(4):593, 2026 (EVI/phénologie vs nappe).</w:t>
      </w:r>
    </w:p>
    <w:p>
      <w:pPr>
        <w:pStyle w:val="ListParagraph"/>
        <w:numPr>
          <w:ilvl w:val="0"/>
          <w:numId w:val="1"/>
        </w:numPr>
        <w:spacing w:after="60"/>
      </w:pPr>
      <w:r>
        <w:t xml:space="preserve">Revue « Remote sensing of peatland degradation in temperate and boreal zones » (2024), Ecological Indicators.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Rzecin — Rapport général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2026-07-21T13:41:03.997Z</dcterms:created>
  <dcterms:modified xsi:type="dcterms:W3CDTF">2026-07-21T13:41:03.998Z</dcterms:modified>
</cp:coreProperties>
</file>

<file path=docProps/custom.xml><?xml version="1.0" encoding="utf-8"?>
<Properties xmlns="http://schemas.openxmlformats.org/officeDocument/2006/custom-properties" xmlns:vt="http://schemas.openxmlformats.org/officeDocument/2006/docPropsVTypes"/>
</file>