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36"/>
          <w:szCs w:val="36"/>
        </w:rPr>
        <w:t xml:space="preserve">Journal des décisions — Rzecin</w:t>
      </w:r>
    </w:p>
    <w:p>
      <w:pPr>
        <w:spacing w:after="300"/>
        <w:jc w:val="center"/>
      </w:pPr>
      <w:r>
        <w:rPr>
          <w:color w:val="2E7D6B"/>
          <w:sz w:val="22"/>
          <w:szCs w:val="22"/>
        </w:rPr>
        <w:t xml:space="preserve">Chronologie complète : méthode testée → résultat → diagnostic → décision suivante</w:t>
      </w:r>
    </w:p>
    <w:p>
      <w:pPr>
        <w:spacing w:after="80"/>
        <w:jc w:val="center"/>
      </w:pPr>
      <w:r>
        <w:rPr>
          <w:i/>
          <w:iCs/>
          <w:color w:val="666666"/>
          <w:sz w:val="20"/>
          <w:szCs w:val="20"/>
        </w:rPr>
        <w:t xml:space="preserve">Note d'avancement pour discussion avec le directeur de thèse</w:t>
      </w:r>
    </w:p>
    <w:p>
      <w:pPr>
        <w:spacing w:after="600"/>
        <w:jc w:val="center"/>
      </w:pPr>
      <w:r>
        <w:rPr>
          <w:color w:val="666666"/>
          <w:sz w:val="16"/>
          <w:szCs w:val="16"/>
        </w:rPr>
        <w:t xml:space="preserve">Dépôt : AimenSayoud/SAr-adapted</w:t>
      </w:r>
    </w:p>
    <w:p>
      <w:pPr>
        <w:pStyle w:val="Heading1"/>
        <w:spacing w:after="160" w:before="360"/>
      </w:pPr>
      <w:r>
        <w:t xml:space="preserve">Pourquoi ce document</w:t>
      </w:r>
    </w:p>
    <w:p>
      <w:pPr>
        <w:spacing w:after="100"/>
      </w:pPr>
      <w:r>
        <w:t xml:space="preserve">Ce document répond à deux besoins : (1) expliquer, étape par étape et avec preuves chiffrées, tout ce qui a été tenté sur le déplacement vertical de la tourbière de Rzecin, dans l'ordre où les décisions ont été prises ; (2) répondre à la question centrale — pourquoi des études publiées obtiennent-elles un résultat sur des tourbières comparables en bande C, alors que nous n'obtenons rien de fiable malgré avoir tout essayé, y compris leur propre méthode ?</w:t>
      </w:r>
    </w:p>
    <w:p>
      <w:pPr>
        <w:pBdr>
          <w:left w:val="single" w:color="9A6700" w:sz="18" w:space="10"/>
        </w:pBdr>
        <w:spacing w:after="160" w:before="100"/>
      </w:pPr>
      <w:r>
        <w:rPr>
          <w:b/>
          <w:bCs/>
        </w:rPr>
        <w:t xml:space="preserve">Réponse courte (développée en fin de document) : </w:t>
      </w:r>
      <w:r>
        <w:t xml:space="preserve">nous avons répliqué l'ingrédient clé de la méthode qui réussit ailleurs (réseau hybride court+annuel, Hrysiewicz et al. 2024) sur notre propre site — et elle échoue aussi (0 pixel fiable sur 564). Ce n'est plus une hypothèse : c'est une preuve empirique que ce site est probablement plus difficile, pour des raisons identifiables (taille, eau libre permanente, échantillonnage temporel). Mais la preuve n'est pas encore complète : il manque la comparaison chiffrée directe et la vérité terrain.</w:t>
      </w:r>
    </w:p>
    <w:p>
      <w:r>
        <w:br w:type="page"/>
      </w:r>
    </w:p>
    <w:p>
      <w:pPr>
        <w:pStyle w:val="Heading1"/>
        <w:spacing w:after="160" w:before="360"/>
      </w:pPr>
      <w:r>
        <w:t xml:space="preserve">Chronologie des essais</w:t>
      </w:r>
    </w:p>
    <w:p>
      <w:pPr>
        <w:pStyle w:val="Heading2"/>
        <w:spacing w:after="120" w:before="240"/>
      </w:pPr>
      <w:r>
        <w:t xml:space="preserve">Étape 1 — SBAS dense classique (MintPy)</w:t>
      </w:r>
    </w:p>
    <w:p>
      <w:pPr>
        <w:spacing w:after="100"/>
      </w:pPr>
      <w:r>
        <w:rPr>
          <w:b/>
          <w:bCs/>
        </w:rPr>
        <w:t xml:space="preserve">Méthode / hypothèse testée : </w:t>
      </w:r>
      <w:r>
        <w:t xml:space="preserve">Reproduire la chaîne InSAR standard : réseau small-baseline dense (354 paires ≤ 48 jours, cohérence, correction de déroulement, inversion des moindres carrés) via MintPy — l'outil de référence du domaine.</w:t>
      </w:r>
    </w:p>
    <w:p>
      <w:pPr>
        <w:spacing w:after="100"/>
      </w:pPr>
      <w:r>
        <w:rPr>
          <w:b/>
          <w:bCs/>
        </w:rPr>
        <w:t xml:space="preserve">Résultat obtenu (évidence) : </w:t>
      </w:r>
      <w:r>
        <w:t xml:space="preserve">182 pixels résolus au total, concentrés HORS de la tourbière. 8 blocages successifs rencontrés (bugs de code corrigés en cours de route, puis limites de l'outil, puis limite physique : « 0 common regions » lors de la correction de fermeture de phase — aucune zone du site ne reste cohérente sur l'ensemble du réseau).</w:t>
      </w:r>
    </w:p>
    <w:p>
      <w:pPr>
        <w:spacing w:after="100"/>
      </w:pPr>
      <w:r>
        <w:rPr>
          <w:b/>
          <w:bCs/>
        </w:rPr>
        <w:t xml:space="preserve">Diagnostic — pourquoi ce résultat : </w:t>
      </w:r>
      <w:r>
        <w:t xml:space="preserve">Les 6 premiers blocages étaient des bugs/limites d'outil, corrigés. Les 2 derniers (fermeture de phase à 0, décorrélation estivale généralisée) ne sont PAS des bugs : ils signalent que le réseau dense à courtes lignes de base perd la cohérence en été sur ce site, empêchant toute correction de déroulement fiable.</w:t>
      </w:r>
    </w:p>
    <w:p>
      <w:pPr>
        <w:pBdr>
          <w:left w:val="single" w:color="2E7D6B" w:sz="18" w:space="10"/>
        </w:pBdr>
        <w:spacing w:after="160" w:before="100"/>
      </w:pPr>
      <w:r>
        <w:rPr>
          <w:b/>
          <w:bCs/>
        </w:rPr>
        <w:t xml:space="preserve">→ Décision : </w:t>
      </w:r>
      <w:r>
        <w:t xml:space="preserve">Abandonner le réseau dense multi-saisons. Chercher une méthode publiée qui évite ce problème de fermeture de réseau — direction : paires à grand espacement temporel plutôt que réseau dense.</w:t>
      </w:r>
    </w:p>
    <w:p>
      <w:pPr>
        <w:pStyle w:val="Heading2"/>
        <w:spacing w:after="120" w:before="240"/>
      </w:pPr>
      <w:r>
        <w:t xml:space="preserve">Étape 2 — ISBAS sur mesure (pixels intermittents)</w:t>
      </w:r>
    </w:p>
    <w:p>
      <w:pPr>
        <w:spacing w:after="100"/>
      </w:pPr>
      <w:r>
        <w:rPr>
          <w:b/>
          <w:bCs/>
        </w:rPr>
        <w:t xml:space="preserve">Méthode / hypothèse testée : </w:t>
      </w:r>
      <w:r>
        <w:t xml:space="preserve">Écrire une inversion maison (moindres carrés pondérés, pixel par pixel) tolérante aux paires manquantes — contrairement à MintPy qui exige un réseau connexe unique. Objectif : récupérer les pixels que MintPy abandonne à cause de l'eau/gel intermittents.</w:t>
      </w:r>
    </w:p>
    <w:p>
      <w:pPr>
        <w:spacing w:after="100"/>
      </w:pPr>
      <w:r>
        <w:rPr>
          <w:b/>
          <w:bCs/>
        </w:rPr>
        <w:t xml:space="preserve">Résultat obtenu (évidence) : </w:t>
      </w:r>
      <w:r>
        <w:t xml:space="preserve">Gain de couverture réel par rapport au SBAS MintPy, mais toujours insuffisant pour produire une carte continue exploitable sur le cœur de la tourbière.</w:t>
      </w:r>
    </w:p>
    <w:p>
      <w:pPr>
        <w:spacing w:after="100"/>
      </w:pPr>
      <w:r>
        <w:rPr>
          <w:b/>
          <w:bCs/>
        </w:rPr>
        <w:t xml:space="preserve">Diagnostic — pourquoi ce résultat : </w:t>
      </w:r>
      <w:r>
        <w:t xml:space="preserve">L'ISBAS corrige la RIGIDITÉ ALGORITHMIQUE de MintPy (l'exigence de réseau connexe), mais ne peut pas recréer une information de phase qui est PHYSIQUEMENT absente (décorrélation réelle, pas juste un problème de méthode d'inversion).</w:t>
      </w:r>
    </w:p>
    <w:p>
      <w:pPr>
        <w:pBdr>
          <w:left w:val="single" w:color="2E7D6B" w:sz="18" w:space="10"/>
        </w:pBdr>
        <w:spacing w:after="160" w:before="100"/>
      </w:pPr>
      <w:r>
        <w:rPr>
          <w:b/>
          <w:bCs/>
        </w:rPr>
        <w:t xml:space="preserve">→ Décision : </w:t>
      </w:r>
      <w:r>
        <w:t xml:space="preserve">Le verrou n'est pas dans l'algorithme d'inversion. Passer à un changement de PARADIGME : arrêter le réseau dense multi-saisons, tester une méthode publiée avec succès sur une tourbière comparable.</w:t>
      </w:r>
    </w:p>
    <w:p>
      <w:pPr>
        <w:pStyle w:val="Heading2"/>
        <w:spacing w:after="120" w:before="240"/>
      </w:pPr>
      <w:r>
        <w:t xml:space="preserve">Étape 3 — Paires saisonnières-annuelles optimisées (méthode Ghezelayagh et al. 2024, Biebrza) + améliorations ERA5</w:t>
      </w:r>
    </w:p>
    <w:p>
      <w:pPr>
        <w:spacing w:after="100"/>
      </w:pPr>
      <w:r>
        <w:rPr>
          <w:b/>
          <w:bCs/>
        </w:rPr>
        <w:t xml:space="preserve">Méthode / hypothèse testée : </w:t>
      </w:r>
      <w:r>
        <w:t xml:space="preserve">Répliquer et améliorer la méthode de l'article de référence (Ecological Indicators, tourbières de Biebrza, Pologne) : comparer le même mois (avril) d'années différentes, signal cumulé sur ~1 an ≫ bruit de phase court terme. Améliorations apportées : sélection des dates par score atmosphérique quantitatif ERA5 (au lieu de relevés météo manuels), 3 paires par transition au lieu d'une seule (médiane d'ensemble robuste), correction de rampe locale, incertitude par pixel.</w:t>
      </w:r>
    </w:p>
    <w:p>
      <w:pPr>
        <w:spacing w:after="100"/>
      </w:pPr>
      <w:r>
        <w:rPr>
          <w:b/>
          <w:bCs/>
        </w:rPr>
        <w:t xml:space="preserve">Résultat obtenu (évidence) : </w:t>
      </w:r>
      <w:r>
        <w:t xml:space="preserve">AOI médiane −4.5 mm/an, incertitude (IQR) ±18.9 mm/an — l'incertitude est 4× le signal. Les paires de 2 ans se contredisent en signe (+7.4 / −28.9 mm/an selon la paire). Amplitude de rampe retirée jusqu'à 179 mm/an sur certaines paires.</w:t>
      </w:r>
    </w:p>
    <w:p>
      <w:pPr>
        <w:spacing w:after="100"/>
      </w:pPr>
      <w:r>
        <w:rPr>
          <w:b/>
          <w:bCs/>
        </w:rPr>
        <w:t xml:space="preserve">Diagnostic — pourquoi ce résultat : </w:t>
      </w:r>
      <w:r>
        <w:t xml:space="preserve">Le taux est une NON-DÉTECTION : statistiquement indiscernable de zéro ET indiscernable de la valeur de Biebrza (−14 mm/an). Les rampes énormes et les changements de signe indiquent des erreurs de déroulement de phase et/ou un bruit atmosphérique résiduel qui domine le signal recherché sur ce site.</w:t>
      </w:r>
    </w:p>
    <w:p>
      <w:pPr>
        <w:pBdr>
          <w:left w:val="single" w:color="2E7D6B" w:sz="18" w:space="10"/>
        </w:pBdr>
        <w:spacing w:after="160" w:before="100"/>
      </w:pPr>
      <w:r>
        <w:rPr>
          <w:b/>
          <w:bCs/>
        </w:rPr>
        <w:t xml:space="preserve">→ Décision : </w:t>
      </w:r>
      <w:r>
        <w:t xml:space="preserve">Le résultat nul pourrait avoir deux causes distinctes : (a) le site n'a vraiment presque pas de subsidence nette (hypothèse physique : tapis flottant, mouvement réversible avec la nappe) ; (b) la méthode elle-même n'est pas assez robuste ici (réseau non redondant, décorrélation). Chercher une méthode qui teste directement cette distinction.</w:t>
      </w:r>
    </w:p>
    <w:p>
      <w:pPr>
        <w:pStyle w:val="Heading2"/>
        <w:spacing w:after="120" w:before="240"/>
      </w:pPr>
      <w:r>
        <w:t xml:space="preserve">Étape 4 — Réseau hybride court + annuel (méthode Hrysiewicz et al. 2024, RSE — le test décisif)</w:t>
      </w:r>
    </w:p>
    <w:p>
      <w:pPr>
        <w:spacing w:after="100"/>
      </w:pPr>
      <w:r>
        <w:rPr>
          <w:b/>
          <w:bCs/>
        </w:rPr>
        <w:t xml:space="preserve">Méthode / hypothèse testée : </w:t>
      </w:r>
      <w:r>
        <w:t xml:space="preserve">Répliquer l'ingrédient clé de l'étude qui RÉUSSIT en bande C sur tourbière (Cors Fochno/Caron, Pays de Galles, validée par caméras in situ, r=0.8–0.9, RMSE ~7 mm/an) : combiner des paires à lignes de base COURTES (≤48 j, densité temporelle) ET ANNUELLES (signal cumulé) dans une inversion conjointe, plutôt que court seul (Étape 1) ou annuel seul (Étape 3). Objectif : trancher si notre échec vient du SITE ou de la MÉTHODE.</w:t>
      </w:r>
    </w:p>
    <w:p>
      <w:pPr>
        <w:spacing w:after="100"/>
      </w:pPr>
      <w:r>
        <w:rPr>
          <w:b/>
          <w:bCs/>
        </w:rPr>
        <w:t xml:space="preserve">Résultat obtenu (évidence) : </w:t>
      </w:r>
      <w:r>
        <w:t xml:space="preserve">349 paires (346 courtes + 3 annuelles), 90 dates S1, inversion conjointe : 14 238 pixels satisfont le critère minimal (≥3 paires). MAIS après filtre de qualité (résidu d'inversion faible ET nombre de paires suffisant) : 0 pixel FIABLE sur les 564 pixels de la tourbière. Le résidu d'inversion y est de 2.0 à 2.9 radians (≈ 18-26 mm de dispersion par interférogramme) — énorme. Cohérence moyenne saisonnière mesurée : été 0.30, printemps 0.32, hiver 0.37, automne 0.41 (fraction de paires exploitables : 64% en été contre 95% en hiver). Corrélation cohérence–eau de surface (Sentinel-2) : r=−0.17 seulement — la décorrélation ne vient pas principalement du lac, mais de la végétation sur tout le tapis.</w:t>
      </w:r>
    </w:p>
    <w:p>
      <w:pPr>
        <w:spacing w:after="100"/>
      </w:pPr>
      <w:r>
        <w:rPr>
          <w:b/>
          <w:bCs/>
        </w:rPr>
        <w:t xml:space="preserve">Diagnostic — pourquoi ce résultat : </w:t>
      </w:r>
      <w:r>
        <w:t xml:space="preserve">Nous avons maintenant reproduit la méthode qui fonctionne ailleurs, avec le même capteur (Sentinel-1 bande C), sur notre propre site, avec un pipeline validé — et elle échoue aussi. Ce n'est plus une hypothèse théorique de premier principe : c'est un test empirique. Deux interprétations restent ouvertes et NE peuvent PAS encore être départagées par l'InSAR seul : (a) décorrélation/erreurs de déroulement réelles (signal perdu) ; (b) mouvement réversible du tapis flottant (la phase peut être correcte mais un modèle en déplacement CUMULÉ donne un résidu élevé par construction si le mouvement n'est pas monotone).</w:t>
      </w:r>
    </w:p>
    <w:p>
      <w:pPr>
        <w:pBdr>
          <w:left w:val="single" w:color="2E7D6B" w:sz="18" w:space="10"/>
        </w:pBdr>
        <w:spacing w:after="160" w:before="100"/>
      </w:pPr>
      <w:r>
        <w:rPr>
          <w:b/>
          <w:bCs/>
        </w:rPr>
        <w:t xml:space="preserve">→ Décision : </w:t>
      </w:r>
      <w:r>
        <w:t xml:space="preserve">Correction troposphérique GACOS demandée (en cours) pour éliminer l'hypothèse résiduelle atmosphérique. Mais la distinction (a) vs (b) ne peut être tranchée QUE par une donnée de terrain indépendante — laser in situ et/ou DoD drone. C'est la demande formulée à l'issue de cette étape (voir section suivante).</w:t>
      </w:r>
    </w:p>
    <w:p>
      <w:r>
        <w:br w:type="page"/>
      </w:r>
    </w:p>
    <w:p>
      <w:pPr>
        <w:pStyle w:val="Heading1"/>
        <w:spacing w:after="160" w:before="360"/>
      </w:pPr>
      <w:r>
        <w:t xml:space="preserve">La question centrale : sommes-nous vraiment différents des études publiées ?</w:t>
      </w:r>
    </w:p>
    <w:p>
      <w:pPr>
        <w:spacing w:after="100"/>
      </w:pPr>
      <w:r>
        <w:t xml:space="preserve">Trois études de référence ont été comparées tout au long du projet. Le tableau ci-dessous résume ce qui est CONNU (mesuré chez nous, ou rapporté dans leur article) et ce qui reste INCONNU (differences potentiellement déterminantes, non chiffrées faute d'accès à leurs données brutes).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24"/>
        <w:gridCol w:w="2208"/>
        <w:gridCol w:w="2484"/>
        <w:gridCol w:w="2484"/>
      </w:tblGrid>
      <w:tr>
        <w:trPr>
          <w:tblHeader/>
        </w:trPr>
        <w:tc>
          <w:tcPr>
            <w:tcW w:type="dxa" w:w="2024"/>
            <w:shd w:fill="B00020" w:val="clear"/>
            <w:tcMar>
              <w:top w:type="dxa" w:w="40"/>
              <w:left w:type="dxa" w:w="80"/>
              <w:bottom w:type="dxa" w:w="40"/>
              <w:right w:type="dxa" w:w="80"/>
            </w:tcMar>
          </w:tcPr>
          <w:p>
            <w:r>
              <w:rPr>
                <w:b/>
                <w:bCs/>
                <w:color w:val="FFFFFF"/>
                <w:sz w:val="17"/>
                <w:szCs w:val="17"/>
              </w:rPr>
              <w:t xml:space="preserve"/>
            </w:r>
          </w:p>
        </w:tc>
        <w:tc>
          <w:tcPr>
            <w:tcW w:type="dxa" w:w="2208"/>
            <w:shd w:fill="B00020" w:val="clear"/>
            <w:tcMar>
              <w:top w:type="dxa" w:w="40"/>
              <w:left w:type="dxa" w:w="80"/>
              <w:bottom w:type="dxa" w:w="40"/>
              <w:right w:type="dxa" w:w="80"/>
            </w:tcMar>
          </w:tcPr>
          <w:p>
            <w:r>
              <w:rPr>
                <w:b/>
                <w:bCs/>
                <w:color w:val="FFFFFF"/>
                <w:sz w:val="17"/>
                <w:szCs w:val="17"/>
              </w:rPr>
              <w:t xml:space="preserve">Rzecin (nous)</w:t>
            </w:r>
          </w:p>
        </w:tc>
        <w:tc>
          <w:tcPr>
            <w:tcW w:type="dxa" w:w="2484"/>
            <w:shd w:fill="B00020" w:val="clear"/>
            <w:tcMar>
              <w:top w:type="dxa" w:w="40"/>
              <w:left w:type="dxa" w:w="80"/>
              <w:bottom w:type="dxa" w:w="40"/>
              <w:right w:type="dxa" w:w="80"/>
            </w:tcMar>
          </w:tcPr>
          <w:p>
            <w:r>
              <w:rPr>
                <w:b/>
                <w:bCs/>
                <w:color w:val="FFFFFF"/>
                <w:sz w:val="17"/>
                <w:szCs w:val="17"/>
              </w:rPr>
              <w:t xml:space="preserve">Biebrza (Ghezelayagh 2024)</w:t>
            </w:r>
          </w:p>
        </w:tc>
        <w:tc>
          <w:tcPr>
            <w:tcW w:type="dxa" w:w="2484"/>
            <w:shd w:fill="B00020" w:val="clear"/>
            <w:tcMar>
              <w:top w:type="dxa" w:w="40"/>
              <w:left w:type="dxa" w:w="80"/>
              <w:bottom w:type="dxa" w:w="40"/>
              <w:right w:type="dxa" w:w="80"/>
            </w:tcMar>
          </w:tcPr>
          <w:p>
            <w:r>
              <w:rPr>
                <w:b/>
                <w:bCs/>
                <w:color w:val="FFFFFF"/>
                <w:sz w:val="17"/>
                <w:szCs w:val="17"/>
              </w:rPr>
              <w:t xml:space="preserve">Cors Fochno/Caron (Hrysiewicz 2024)</w:t>
            </w:r>
          </w:p>
        </w:tc>
      </w:tr>
      <w:tr>
        <w:trPr>
          <w:tblHeader w:val="false"/>
        </w:trPr>
        <w:tc>
          <w:tcPr>
            <w:tcW w:type="dxa" w:w="2024"/>
            <w:tcMar>
              <w:top w:type="dxa" w:w="40"/>
              <w:left w:type="dxa" w:w="80"/>
              <w:bottom w:type="dxa" w:w="40"/>
              <w:right w:type="dxa" w:w="80"/>
            </w:tcMar>
          </w:tcPr>
          <w:p>
            <w:r>
              <w:rPr>
                <w:b w:val="false"/>
                <w:bCs w:val="false"/>
                <w:color w:val="000000"/>
                <w:sz w:val="17"/>
                <w:szCs w:val="17"/>
              </w:rPr>
              <w:t xml:space="preserve">Régime hydrologique</w:t>
            </w:r>
          </w:p>
        </w:tc>
        <w:tc>
          <w:tcPr>
            <w:tcW w:type="dxa" w:w="2208"/>
            <w:tcMar>
              <w:top w:type="dxa" w:w="40"/>
              <w:left w:type="dxa" w:w="80"/>
              <w:bottom w:type="dxa" w:w="40"/>
              <w:right w:type="dxa" w:w="80"/>
            </w:tcMar>
          </w:tcPr>
          <w:p>
            <w:r>
              <w:rPr>
                <w:b w:val="false"/>
                <w:bCs w:val="false"/>
                <w:color w:val="000000"/>
                <w:sz w:val="17"/>
                <w:szCs w:val="17"/>
              </w:rPr>
              <w:t xml:space="preserve">Fen minerotrophe flottant + lac résiduel permanent</w:t>
            </w:r>
          </w:p>
        </w:tc>
        <w:tc>
          <w:tcPr>
            <w:tcW w:type="dxa" w:w="2484"/>
            <w:tcMar>
              <w:top w:type="dxa" w:w="40"/>
              <w:left w:type="dxa" w:w="80"/>
              <w:bottom w:type="dxa" w:w="40"/>
              <w:right w:type="dxa" w:w="80"/>
            </w:tcMar>
          </w:tcPr>
          <w:p>
            <w:r>
              <w:rPr>
                <w:b w:val="false"/>
                <w:bCs w:val="false"/>
                <w:color w:val="000000"/>
                <w:sz w:val="17"/>
                <w:szCs w:val="17"/>
              </w:rPr>
              <w:t xml:space="preserve">Fen drainé</w:t>
            </w:r>
          </w:p>
        </w:tc>
        <w:tc>
          <w:tcPr>
            <w:tcW w:type="dxa" w:w="2484"/>
            <w:tcMar>
              <w:top w:type="dxa" w:w="40"/>
              <w:left w:type="dxa" w:w="80"/>
              <w:bottom w:type="dxa" w:w="40"/>
              <w:right w:type="dxa" w:w="80"/>
            </w:tcMar>
          </w:tcPr>
          <w:p>
            <w:r>
              <w:rPr>
                <w:b w:val="false"/>
                <w:bCs w:val="false"/>
                <w:color w:val="000000"/>
                <w:sz w:val="17"/>
                <w:szCs w:val="17"/>
              </w:rPr>
              <w:t xml:space="preserve">Bog ombrotrophe, pas d'eau libre</w:t>
            </w:r>
          </w:p>
        </w:tc>
      </w:tr>
      <w:tr>
        <w:trPr>
          <w:tblHeader w:val="false"/>
        </w:trPr>
        <w:tc>
          <w:tcPr>
            <w:tcW w:type="dxa" w:w="2024"/>
            <w:shd w:fill="F0F0F0" w:val="clear"/>
            <w:tcMar>
              <w:top w:type="dxa" w:w="40"/>
              <w:left w:type="dxa" w:w="80"/>
              <w:bottom w:type="dxa" w:w="40"/>
              <w:right w:type="dxa" w:w="80"/>
            </w:tcMar>
          </w:tcPr>
          <w:p>
            <w:r>
              <w:rPr>
                <w:b w:val="false"/>
                <w:bCs w:val="false"/>
                <w:color w:val="000000"/>
                <w:sz w:val="17"/>
                <w:szCs w:val="17"/>
              </w:rPr>
              <w:t xml:space="preserve">Taille AOI</w:t>
            </w:r>
          </w:p>
        </w:tc>
        <w:tc>
          <w:tcPr>
            <w:tcW w:type="dxa" w:w="2208"/>
            <w:shd w:fill="F0F0F0" w:val="clear"/>
            <w:tcMar>
              <w:top w:type="dxa" w:w="40"/>
              <w:left w:type="dxa" w:w="80"/>
              <w:bottom w:type="dxa" w:w="40"/>
              <w:right w:type="dxa" w:w="80"/>
            </w:tcMar>
          </w:tcPr>
          <w:p>
            <w:r>
              <w:rPr>
                <w:b w:val="false"/>
                <w:bCs w:val="false"/>
                <w:color w:val="000000"/>
                <w:sz w:val="17"/>
                <w:szCs w:val="17"/>
              </w:rPr>
              <w:t xml:space="preserve">~90 ha</w:t>
            </w:r>
          </w:p>
        </w:tc>
        <w:tc>
          <w:tcPr>
            <w:tcW w:type="dxa" w:w="2484"/>
            <w:shd w:fill="F0F0F0" w:val="clear"/>
            <w:tcMar>
              <w:top w:type="dxa" w:w="40"/>
              <w:left w:type="dxa" w:w="80"/>
              <w:bottom w:type="dxa" w:w="40"/>
              <w:right w:type="dxa" w:w="80"/>
            </w:tcMar>
          </w:tcPr>
          <w:p>
            <w:r>
              <w:rPr>
                <w:b w:val="false"/>
                <w:bCs w:val="false"/>
                <w:color w:val="000000"/>
                <w:sz w:val="17"/>
                <w:szCs w:val="17"/>
              </w:rPr>
              <w:t xml:space="preserve">96 610 ha (×~1075)</w:t>
            </w:r>
          </w:p>
        </w:tc>
        <w:tc>
          <w:tcPr>
            <w:tcW w:type="dxa" w:w="2484"/>
            <w:shd w:fill="F0F0F0" w:val="clear"/>
            <w:tcMar>
              <w:top w:type="dxa" w:w="40"/>
              <w:left w:type="dxa" w:w="80"/>
              <w:bottom w:type="dxa" w:w="40"/>
              <w:right w:type="dxa" w:w="80"/>
            </w:tcMar>
          </w:tcPr>
          <w:p>
            <w:r>
              <w:rPr>
                <w:b w:val="false"/>
                <w:bCs w:val="false"/>
                <w:color w:val="000000"/>
                <w:sz w:val="17"/>
                <w:szCs w:val="17"/>
              </w:rPr>
              <w:t xml:space="preserve">non précisée, tourbières hautes étendues</w:t>
            </w:r>
          </w:p>
        </w:tc>
      </w:tr>
      <w:tr>
        <w:trPr>
          <w:tblHeader w:val="false"/>
        </w:trPr>
        <w:tc>
          <w:tcPr>
            <w:tcW w:type="dxa" w:w="2024"/>
            <w:tcMar>
              <w:top w:type="dxa" w:w="40"/>
              <w:left w:type="dxa" w:w="80"/>
              <w:bottom w:type="dxa" w:w="40"/>
              <w:right w:type="dxa" w:w="80"/>
            </w:tcMar>
          </w:tcPr>
          <w:p>
            <w:r>
              <w:rPr>
                <w:b w:val="false"/>
                <w:bCs w:val="false"/>
                <w:color w:val="000000"/>
                <w:sz w:val="17"/>
                <w:szCs w:val="17"/>
              </w:rPr>
              <w:t xml:space="preserve">Signal net attendu</w:t>
            </w:r>
          </w:p>
        </w:tc>
        <w:tc>
          <w:tcPr>
            <w:tcW w:type="dxa" w:w="2208"/>
            <w:tcMar>
              <w:top w:type="dxa" w:w="40"/>
              <w:left w:type="dxa" w:w="80"/>
              <w:bottom w:type="dxa" w:w="40"/>
              <w:right w:type="dxa" w:w="80"/>
            </w:tcMar>
          </w:tcPr>
          <w:p>
            <w:r>
              <w:rPr>
                <w:b w:val="false"/>
                <w:bCs w:val="false"/>
                <w:color w:val="000000"/>
                <w:sz w:val="17"/>
                <w:szCs w:val="17"/>
              </w:rPr>
              <w:t xml:space="preserve">quasi nul (site préservé)</w:t>
            </w:r>
          </w:p>
        </w:tc>
        <w:tc>
          <w:tcPr>
            <w:tcW w:type="dxa" w:w="2484"/>
            <w:tcMar>
              <w:top w:type="dxa" w:w="40"/>
              <w:left w:type="dxa" w:w="80"/>
              <w:bottom w:type="dxa" w:w="40"/>
              <w:right w:type="dxa" w:w="80"/>
            </w:tcMar>
          </w:tcPr>
          <w:p>
            <w:r>
              <w:rPr>
                <w:b w:val="false"/>
                <w:bCs w:val="false"/>
                <w:color w:val="000000"/>
                <w:sz w:val="17"/>
                <w:szCs w:val="17"/>
              </w:rPr>
              <w:t xml:space="preserve">fort, −14 mm/an (dégradé)</w:t>
            </w:r>
          </w:p>
        </w:tc>
        <w:tc>
          <w:tcPr>
            <w:tcW w:type="dxa" w:w="2484"/>
            <w:tcMar>
              <w:top w:type="dxa" w:w="40"/>
              <w:left w:type="dxa" w:w="80"/>
              <w:bottom w:type="dxa" w:w="40"/>
              <w:right w:type="dxa" w:w="80"/>
            </w:tcMar>
          </w:tcPr>
          <w:p>
            <w:r>
              <w:rPr>
                <w:b w:val="false"/>
                <w:bCs w:val="false"/>
                <w:color w:val="000000"/>
                <w:sz w:val="17"/>
                <w:szCs w:val="17"/>
              </w:rPr>
              <w:t xml:space="preserve">modéré, respiration 10-40mm sans trend fort</w:t>
            </w:r>
          </w:p>
        </w:tc>
      </w:tr>
      <w:tr>
        <w:trPr>
          <w:tblHeader w:val="false"/>
        </w:trPr>
        <w:tc>
          <w:tcPr>
            <w:tcW w:type="dxa" w:w="2024"/>
            <w:shd w:fill="F0F0F0" w:val="clear"/>
            <w:tcMar>
              <w:top w:type="dxa" w:w="40"/>
              <w:left w:type="dxa" w:w="80"/>
              <w:bottom w:type="dxa" w:w="40"/>
              <w:right w:type="dxa" w:w="80"/>
            </w:tcMar>
          </w:tcPr>
          <w:p>
            <w:r>
              <w:rPr>
                <w:b w:val="false"/>
                <w:bCs w:val="false"/>
                <w:color w:val="000000"/>
                <w:sz w:val="17"/>
                <w:szCs w:val="17"/>
              </w:rPr>
              <w:t xml:space="preserve">Échantillonnage S1 (période étudiée)</w:t>
            </w:r>
          </w:p>
        </w:tc>
        <w:tc>
          <w:tcPr>
            <w:tcW w:type="dxa" w:w="2208"/>
            <w:shd w:fill="F0F0F0" w:val="clear"/>
            <w:tcMar>
              <w:top w:type="dxa" w:w="40"/>
              <w:left w:type="dxa" w:w="80"/>
              <w:bottom w:type="dxa" w:w="40"/>
              <w:right w:type="dxa" w:w="80"/>
            </w:tcMar>
          </w:tcPr>
          <w:p>
            <w:r>
              <w:rPr>
                <w:b w:val="false"/>
                <w:bCs w:val="false"/>
                <w:color w:val="000000"/>
                <w:sz w:val="17"/>
                <w:szCs w:val="17"/>
              </w:rPr>
              <w:t xml:space="preserve">S1A seul, cycle 12 j (2022-24)</w:t>
            </w:r>
          </w:p>
        </w:tc>
        <w:tc>
          <w:tcPr>
            <w:tcW w:type="dxa" w:w="2484"/>
            <w:shd w:fill="F0F0F0" w:val="clear"/>
            <w:tcMar>
              <w:top w:type="dxa" w:w="40"/>
              <w:left w:type="dxa" w:w="80"/>
              <w:bottom w:type="dxa" w:w="40"/>
              <w:right w:type="dxa" w:w="80"/>
            </w:tcMar>
          </w:tcPr>
          <w:p>
            <w:r>
              <w:rPr>
                <w:b w:val="false"/>
                <w:bCs w:val="false"/>
                <w:color w:val="000000"/>
                <w:sz w:val="17"/>
                <w:szCs w:val="17"/>
              </w:rPr>
              <w:t xml:space="preserve">non précisé dans l'article</w:t>
            </w:r>
          </w:p>
        </w:tc>
        <w:tc>
          <w:tcPr>
            <w:tcW w:type="dxa" w:w="2484"/>
            <w:shd w:fill="F0F0F0" w:val="clear"/>
            <w:tcMar>
              <w:top w:type="dxa" w:w="40"/>
              <w:left w:type="dxa" w:w="80"/>
              <w:bottom w:type="dxa" w:w="40"/>
              <w:right w:type="dxa" w:w="80"/>
            </w:tcMar>
          </w:tcPr>
          <w:p>
            <w:r>
              <w:rPr>
                <w:b w:val="false"/>
                <w:bCs w:val="false"/>
                <w:color w:val="000000"/>
                <w:sz w:val="17"/>
                <w:szCs w:val="17"/>
              </w:rPr>
              <w:t xml:space="preserve">non précisé dans l'article</w:t>
            </w:r>
          </w:p>
        </w:tc>
      </w:tr>
      <w:tr>
        <w:trPr>
          <w:tblHeader w:val="false"/>
        </w:trPr>
        <w:tc>
          <w:tcPr>
            <w:tcW w:type="dxa" w:w="2024"/>
            <w:tcMar>
              <w:top w:type="dxa" w:w="40"/>
              <w:left w:type="dxa" w:w="80"/>
              <w:bottom w:type="dxa" w:w="40"/>
              <w:right w:type="dxa" w:w="80"/>
            </w:tcMar>
          </w:tcPr>
          <w:p>
            <w:r>
              <w:rPr>
                <w:b w:val="false"/>
                <w:bCs w:val="false"/>
                <w:color w:val="000000"/>
                <w:sz w:val="17"/>
                <w:szCs w:val="17"/>
              </w:rPr>
              <w:t xml:space="preserve">Cohérence InSAR mesurée</w:t>
            </w:r>
          </w:p>
        </w:tc>
        <w:tc>
          <w:tcPr>
            <w:tcW w:type="dxa" w:w="2208"/>
            <w:tcMar>
              <w:top w:type="dxa" w:w="40"/>
              <w:left w:type="dxa" w:w="80"/>
              <w:bottom w:type="dxa" w:w="40"/>
              <w:right w:type="dxa" w:w="80"/>
            </w:tcMar>
          </w:tcPr>
          <w:p>
            <w:r>
              <w:rPr>
                <w:b w:val="false"/>
                <w:bCs w:val="false"/>
                <w:color w:val="000000"/>
                <w:sz w:val="17"/>
                <w:szCs w:val="17"/>
              </w:rPr>
              <w:t xml:space="preserve">0.30-0.41 (saisonnier)</w:t>
            </w:r>
          </w:p>
        </w:tc>
        <w:tc>
          <w:tcPr>
            <w:tcW w:type="dxa" w:w="2484"/>
            <w:tcMar>
              <w:top w:type="dxa" w:w="40"/>
              <w:left w:type="dxa" w:w="80"/>
              <w:bottom w:type="dxa" w:w="40"/>
              <w:right w:type="dxa" w:w="80"/>
            </w:tcMar>
          </w:tcPr>
          <w:p>
            <w:r>
              <w:rPr>
                <w:b w:val="false"/>
                <w:bCs w:val="false"/>
                <w:color w:val="000000"/>
                <w:sz w:val="17"/>
                <w:szCs w:val="17"/>
              </w:rPr>
              <w:t xml:space="preserve">non rapportée</w:t>
            </w:r>
          </w:p>
        </w:tc>
        <w:tc>
          <w:tcPr>
            <w:tcW w:type="dxa" w:w="2484"/>
            <w:tcMar>
              <w:top w:type="dxa" w:w="40"/>
              <w:left w:type="dxa" w:w="80"/>
              <w:bottom w:type="dxa" w:w="40"/>
              <w:right w:type="dxa" w:w="80"/>
            </w:tcMar>
          </w:tcPr>
          <w:p>
            <w:r>
              <w:rPr>
                <w:b w:val="false"/>
                <w:bCs w:val="false"/>
                <w:color w:val="000000"/>
                <w:sz w:val="17"/>
                <w:szCs w:val="17"/>
              </w:rPr>
              <w:t xml:space="preserve">non rapportée</w:t>
            </w:r>
          </w:p>
        </w:tc>
      </w:tr>
      <w:tr>
        <w:trPr>
          <w:tblHeader w:val="false"/>
        </w:trPr>
        <w:tc>
          <w:tcPr>
            <w:tcW w:type="dxa" w:w="2024"/>
            <w:shd w:fill="F0F0F0" w:val="clear"/>
            <w:tcMar>
              <w:top w:type="dxa" w:w="40"/>
              <w:left w:type="dxa" w:w="80"/>
              <w:bottom w:type="dxa" w:w="40"/>
              <w:right w:type="dxa" w:w="80"/>
            </w:tcMar>
          </w:tcPr>
          <w:p>
            <w:r>
              <w:rPr>
                <w:b w:val="false"/>
                <w:bCs w:val="false"/>
                <w:color w:val="000000"/>
                <w:sz w:val="17"/>
                <w:szCs w:val="17"/>
              </w:rPr>
              <w:t xml:space="preserve">Validation terrain</w:t>
            </w:r>
          </w:p>
        </w:tc>
        <w:tc>
          <w:tcPr>
            <w:tcW w:type="dxa" w:w="2208"/>
            <w:shd w:fill="F0F0F0" w:val="clear"/>
            <w:tcMar>
              <w:top w:type="dxa" w:w="40"/>
              <w:left w:type="dxa" w:w="80"/>
              <w:bottom w:type="dxa" w:w="40"/>
              <w:right w:type="dxa" w:w="80"/>
            </w:tcMar>
          </w:tcPr>
          <w:p>
            <w:r>
              <w:rPr>
                <w:b w:val="false"/>
                <w:bCs w:val="false"/>
                <w:color w:val="000000"/>
                <w:sz w:val="17"/>
                <w:szCs w:val="17"/>
              </w:rPr>
              <w:t xml:space="preserve">aucune pour l'instant</w:t>
            </w:r>
          </w:p>
        </w:tc>
        <w:tc>
          <w:tcPr>
            <w:tcW w:type="dxa" w:w="2484"/>
            <w:shd w:fill="F0F0F0" w:val="clear"/>
            <w:tcMar>
              <w:top w:type="dxa" w:w="40"/>
              <w:left w:type="dxa" w:w="80"/>
              <w:bottom w:type="dxa" w:w="40"/>
              <w:right w:type="dxa" w:w="80"/>
            </w:tcMar>
          </w:tcPr>
          <w:p>
            <w:r>
              <w:rPr>
                <w:b w:val="false"/>
                <w:bCs w:val="false"/>
                <w:color w:val="000000"/>
                <w:sz w:val="17"/>
                <w:szCs w:val="17"/>
              </w:rPr>
              <w:t xml:space="preserve">piézomètres, R²=0.7</w:t>
            </w:r>
          </w:p>
        </w:tc>
        <w:tc>
          <w:tcPr>
            <w:tcW w:type="dxa" w:w="2484"/>
            <w:shd w:fill="F0F0F0" w:val="clear"/>
            <w:tcMar>
              <w:top w:type="dxa" w:w="40"/>
              <w:left w:type="dxa" w:w="80"/>
              <w:bottom w:type="dxa" w:w="40"/>
              <w:right w:type="dxa" w:w="80"/>
            </w:tcMar>
          </w:tcPr>
          <w:p>
            <w:r>
              <w:rPr>
                <w:b w:val="false"/>
                <w:bCs w:val="false"/>
                <w:color w:val="000000"/>
                <w:sz w:val="17"/>
                <w:szCs w:val="17"/>
              </w:rPr>
              <w:t xml:space="preserve">caméras in situ, r=0.8-0.9</w:t>
            </w:r>
          </w:p>
        </w:tc>
      </w:tr>
    </w:tbl>
    <w:p>
      <w:pPr>
        <w:pStyle w:val="Heading2"/>
        <w:spacing w:after="120" w:before="240"/>
      </w:pPr>
      <w:r>
        <w:t xml:space="preserve">Ce qu'on peut affirmer (confiance modérée)</w:t>
      </w:r>
    </w:p>
    <w:p>
      <w:pPr>
        <w:pStyle w:val="ListParagraph"/>
        <w:numPr>
          <w:ilvl w:val="0"/>
          <w:numId w:val="1"/>
        </w:numPr>
        <w:spacing w:after="50"/>
      </w:pPr>
      <w:r>
        <w:t xml:space="preserve">Le site est probablement structurellement plus difficile : superficie ~1000× plus petite que Biebrza limite fortement le moyennage spatial du bruit ; présence d'eau libre permanente (lac résiduel) absente des bogs de Hrysiewicz ; signal net attendu beaucoup plus faible qu'à Biebrza (marge sur le bruit réduite d'autant).</w:t>
      </w:r>
    </w:p>
    <w:p>
      <w:pPr>
        <w:pStyle w:val="ListParagraph"/>
        <w:numPr>
          <w:ilvl w:val="0"/>
          <w:numId w:val="1"/>
        </w:numPr>
        <w:spacing w:after="50"/>
      </w:pPr>
      <w:r>
        <w:t xml:space="preserve">L'échantillonnage temporel sur notre période (S1A seul, cycle 12 j, panne de S1B) est probablement plus pauvre que dans les archives plus longues/denses utilisées par les études publiées.</w:t>
      </w:r>
    </w:p>
    <w:p>
      <w:pPr>
        <w:pStyle w:val="Heading2"/>
        <w:spacing w:after="120" w:before="240"/>
      </w:pPr>
      <w:r>
        <w:t xml:space="preserve">Ce qu'on NE peut PAS encore affirmer</w:t>
      </w:r>
    </w:p>
    <w:p>
      <w:pPr>
        <w:pStyle w:val="ListParagraph"/>
        <w:numPr>
          <w:ilvl w:val="0"/>
          <w:numId w:val="1"/>
        </w:numPr>
        <w:spacing w:after="50"/>
      </w:pPr>
      <w:r>
        <w:t xml:space="preserve">Que la différence de résultat est due à UN facteur précis plutôt qu'un autre — les chiffres de cohérence bruts de Hrysiewicz et Ghezelayagh ne sont pas dans nos mains pour une comparaison directe.</w:t>
      </w:r>
    </w:p>
    <w:p>
      <w:pPr>
        <w:pStyle w:val="ListParagraph"/>
        <w:numPr>
          <w:ilvl w:val="0"/>
          <w:numId w:val="1"/>
        </w:numPr>
        <w:spacing w:after="50"/>
      </w:pPr>
      <w:r>
        <w:t xml:space="preserve">Que le taux net à Rzecin est réellement nul plutôt que juste indétectable avec les moyens actuels — seule une vérité terrain (laser, DoD drone) peut trancher.</w:t>
      </w:r>
    </w:p>
    <w:p>
      <w:pPr>
        <w:pBdr>
          <w:left w:val="single" w:color="1F3864" w:sz="18" w:space="10"/>
        </w:pBdr>
        <w:spacing w:after="160" w:before="100"/>
      </w:pPr>
      <w:r>
        <w:rPr>
          <w:b/>
          <w:bCs/>
        </w:rPr>
        <w:t xml:space="preserve">Conclusion honnête : </w:t>
      </w:r>
      <w:r>
        <w:t xml:space="preserve">oui, tout indique que Rzecin est un cas plus difficile que les sites publiés, pour des raisons identifiables et plausibles. Mais la preuve rigoureuse et publiable de cette différence — et surtout la réponse à "y a-t-il vraiment un signal caché derrière le bruit ?" — ne peut venir que des données de terrain demandées ci-dessous.</w:t>
      </w:r>
    </w:p>
    <w:p>
      <w:r>
        <w:br w:type="page"/>
      </w:r>
    </w:p>
    <w:p>
      <w:pPr>
        <w:pStyle w:val="Heading1"/>
        <w:spacing w:after="160" w:before="360"/>
      </w:pPr>
      <w:r>
        <w:t xml:space="preserve">Ce qui est demandé, et pourquoi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64"/>
        <w:gridCol w:w="5336"/>
      </w:tblGrid>
      <w:tr>
        <w:trPr>
          <w:tblHeader/>
        </w:trPr>
        <w:tc>
          <w:tcPr>
            <w:tcW w:type="dxa" w:w="3864"/>
            <w:shd w:fill="2E7D6B" w:val="clear"/>
            <w:tcMar>
              <w:top w:type="dxa" w:w="40"/>
              <w:left w:type="dxa" w:w="80"/>
              <w:bottom w:type="dxa" w:w="40"/>
              <w:right w:type="dxa" w:w="80"/>
            </w:tcMar>
          </w:tcPr>
          <w:p>
            <w:r>
              <w:rPr>
                <w:b/>
                <w:bCs/>
                <w:color w:val="FFFFFF"/>
                <w:sz w:val="17"/>
                <w:szCs w:val="17"/>
              </w:rPr>
              <w:t xml:space="preserve">Donnée demandée</w:t>
            </w:r>
          </w:p>
        </w:tc>
        <w:tc>
          <w:tcPr>
            <w:tcW w:type="dxa" w:w="5336"/>
            <w:shd w:fill="2E7D6B" w:val="clear"/>
            <w:tcMar>
              <w:top w:type="dxa" w:w="40"/>
              <w:left w:type="dxa" w:w="80"/>
              <w:bottom w:type="dxa" w:w="40"/>
              <w:right w:type="dxa" w:w="80"/>
            </w:tcMar>
          </w:tcPr>
          <w:p>
            <w:r>
              <w:rPr>
                <w:b/>
                <w:bCs/>
                <w:color w:val="FFFFFF"/>
                <w:sz w:val="17"/>
                <w:szCs w:val="17"/>
              </w:rPr>
              <w:t xml:space="preserve">Ce qu'elle permet de trancher</w:t>
            </w:r>
          </w:p>
        </w:tc>
      </w:tr>
      <w:tr>
        <w:trPr>
          <w:tblHeader w:val="false"/>
        </w:trPr>
        <w:tc>
          <w:tcPr>
            <w:tcW w:type="dxa" w:w="3864"/>
            <w:tcMar>
              <w:top w:type="dxa" w:w="40"/>
              <w:left w:type="dxa" w:w="80"/>
              <w:bottom w:type="dxa" w:w="40"/>
              <w:right w:type="dxa" w:w="80"/>
            </w:tcMar>
          </w:tcPr>
          <w:p>
            <w:r>
              <w:rPr>
                <w:b w:val="false"/>
                <w:bCs w:val="false"/>
                <w:color w:val="000000"/>
                <w:sz w:val="17"/>
                <w:szCs w:val="17"/>
              </w:rPr>
              <w:t xml:space="preserve">Laser / capteur d'élévation in situ (+ niveau de nappe si dispo)</w:t>
            </w:r>
          </w:p>
        </w:tc>
        <w:tc>
          <w:tcPr>
            <w:tcW w:type="dxa" w:w="5336"/>
            <w:tcMar>
              <w:top w:type="dxa" w:w="40"/>
              <w:left w:type="dxa" w:w="80"/>
              <w:bottom w:type="dxa" w:w="40"/>
              <w:right w:type="dxa" w:w="80"/>
            </w:tcMar>
          </w:tcPr>
          <w:p>
            <w:r>
              <w:rPr>
                <w:b w:val="false"/>
                <w:bCs w:val="false"/>
                <w:color w:val="000000"/>
                <w:sz w:val="17"/>
                <w:szCs w:val="17"/>
              </w:rPr>
              <w:t xml:space="preserve">Test décisif : la série InSAR au pixel du laser reproduit-elle la respiration mesurée ? Distingue décorrélation réelle (a) vs mouvement réversible (b).</w:t>
            </w:r>
          </w:p>
        </w:tc>
      </w:tr>
      <w:tr>
        <w:trPr>
          <w:tblHeader w:val="false"/>
        </w:trPr>
        <w:tc>
          <w:tcPr>
            <w:tcW w:type="dxa" w:w="3864"/>
            <w:shd w:fill="F0F0F0" w:val="clear"/>
            <w:tcMar>
              <w:top w:type="dxa" w:w="40"/>
              <w:left w:type="dxa" w:w="80"/>
              <w:bottom w:type="dxa" w:w="40"/>
              <w:right w:type="dxa" w:w="80"/>
            </w:tcMar>
          </w:tcPr>
          <w:p>
            <w:r>
              <w:rPr>
                <w:b w:val="false"/>
                <w:bCs w:val="false"/>
                <w:color w:val="000000"/>
                <w:sz w:val="17"/>
                <w:szCs w:val="17"/>
              </w:rPr>
              <w:t xml:space="preserve">DTM/DSM drone 2022 et 2024 (préciser LiDAR ou photogrammétrie)</w:t>
            </w:r>
          </w:p>
        </w:tc>
        <w:tc>
          <w:tcPr>
            <w:tcW w:type="dxa" w:w="5336"/>
            <w:shd w:fill="F0F0F0" w:val="clear"/>
            <w:tcMar>
              <w:top w:type="dxa" w:w="40"/>
              <w:left w:type="dxa" w:w="80"/>
              <w:bottom w:type="dxa" w:w="40"/>
              <w:right w:type="dxa" w:w="80"/>
            </w:tcMar>
          </w:tcPr>
          <w:p>
            <w:r>
              <w:rPr>
                <w:b w:val="false"/>
                <w:bCs w:val="false"/>
                <w:color w:val="000000"/>
                <w:sz w:val="17"/>
                <w:szCs w:val="17"/>
              </w:rPr>
              <w:t xml:space="preserve">Changement net d'élévation (DoD) indépendant de l'InSAR — devient la mesure verticale principale si l'InSAR reste non fiable.</w:t>
            </w:r>
          </w:p>
        </w:tc>
      </w:tr>
      <w:tr>
        <w:trPr>
          <w:tblHeader w:val="false"/>
        </w:trPr>
        <w:tc>
          <w:tcPr>
            <w:tcW w:type="dxa" w:w="3864"/>
            <w:tcMar>
              <w:top w:type="dxa" w:w="40"/>
              <w:left w:type="dxa" w:w="80"/>
              <w:bottom w:type="dxa" w:w="40"/>
              <w:right w:type="dxa" w:w="80"/>
            </w:tcMar>
          </w:tcPr>
          <w:p>
            <w:r>
              <w:rPr>
                <w:b w:val="false"/>
                <w:bCs w:val="false"/>
                <w:color w:val="000000"/>
                <w:sz w:val="17"/>
                <w:szCs w:val="17"/>
              </w:rPr>
              <w:t xml:space="preserve">Repères géodésiques (GNSS/nivellement) sur site, si existants</w:t>
            </w:r>
          </w:p>
        </w:tc>
        <w:tc>
          <w:tcPr>
            <w:tcW w:type="dxa" w:w="5336"/>
            <w:tcMar>
              <w:top w:type="dxa" w:w="40"/>
              <w:left w:type="dxa" w:w="80"/>
              <w:bottom w:type="dxa" w:w="40"/>
              <w:right w:type="dxa" w:w="80"/>
            </w:tcMar>
          </w:tcPr>
          <w:p>
            <w:r>
              <w:rPr>
                <w:b w:val="false"/>
                <w:bCs w:val="false"/>
                <w:color w:val="000000"/>
                <w:sz w:val="17"/>
                <w:szCs w:val="17"/>
              </w:rPr>
              <w:t xml:space="preserve">Valide la stabilité du point de référence utilisé par toutes nos inversions InSAR.</w:t>
            </w:r>
          </w:p>
        </w:tc>
      </w:tr>
    </w:tbl>
    <w:p>
      <w:pPr>
        <w:spacing w:after="100"/>
      </w:pPr>
      <w:r>
        <w:t xml:space="preserve">En attendant ces données, le volet satellite continue de façon utile et autonome : correction GACOS (en cours de réception), reformulation de Sentinel-1/2 en capteurs de l'état hydrologique (cohérence, rétrodiffusion, humidité) plutôt que de déformation directe, et amélioration du proxy de nappe via ERA5-Land (humidité du sol, meilleur proxy que la précipitation cumulée utilisée jusqu'ici).</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5"/>
        <w:szCs w:val="15"/>
      </w:rPr>
      <w:t xml:space="preserve">Rzecin — Journal des décisions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2026-07-21T20:45:14.484Z</dcterms:created>
  <dcterms:modified xsi:type="dcterms:W3CDTF">2026-07-21T20:45:14.498Z</dcterms:modified>
</cp:coreProperties>
</file>

<file path=docProps/custom.xml><?xml version="1.0" encoding="utf-8"?>
<Properties xmlns="http://schemas.openxmlformats.org/officeDocument/2006/custom-properties" xmlns:vt="http://schemas.openxmlformats.org/officeDocument/2006/docPropsVTypes"/>
</file>