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F3864"/>
          <w:sz w:val="40"/>
          <w:szCs w:val="40"/>
        </w:rPr>
        <w:t xml:space="preserve">Pipeline InSAR pour le suivi du déplacement vertical</w:t>
      </w:r>
    </w:p>
    <w:p>
      <w:pPr>
        <w:spacing w:before="200"/>
        <w:jc w:val="center"/>
      </w:pPr>
      <w:r>
        <w:rPr>
          <w:b/>
          <w:bCs/>
          <w:color w:val="1F3864"/>
          <w:sz w:val="40"/>
          <w:szCs w:val="40"/>
        </w:rPr>
        <w:t xml:space="preserve">de la tourbière de Rzecin (Pologne)</w:t>
      </w:r>
    </w:p>
    <w:p>
      <w:pPr>
        <w:spacing w:before="400"/>
        <w:jc w:val="center"/>
      </w:pPr>
      <w:r>
        <w:rPr>
          <w:i/>
          <w:iCs/>
          <w:color w:val="2E7D6B"/>
          <w:sz w:val="26"/>
          <w:szCs w:val="26"/>
        </w:rPr>
        <w:t xml:space="preserve">Rapport technique complet — Phases 1 à 10 et Phase 15</w:t>
      </w:r>
    </w:p>
    <w:p>
      <w:pPr>
        <w:spacing w:before="800"/>
        <w:jc w:val="center"/>
      </w:pPr>
      <w:r>
        <w:rPr>
          <w:color w:val="666666"/>
          <w:sz w:val="22"/>
          <w:szCs w:val="22"/>
        </w:rPr>
        <w:t xml:space="preserve">Comparaison méthodologique SBAS vs ISBAS, et validation croisée par une approche de paires annuelles inspirée de Ghezelayagh et al. (2024)</w:t>
      </w:r>
    </w:p>
    <w:p>
      <w:pPr>
        <w:spacing w:before="1600"/>
        <w:jc w:val="center"/>
      </w:pPr>
      <w:r>
        <w:rPr>
          <w:sz w:val="20"/>
          <w:szCs w:val="20"/>
        </w:rPr>
        <w:t xml:space="preserve">Site : Rzecin peatland, ~89.7 ha — Sentinel-1, trace ASCENDING 175 / burst 175_374052_IW1</w:t>
      </w:r>
    </w:p>
    <w:p>
      <w:pPr>
        <w:jc w:val="center"/>
      </w:pPr>
      <w:r>
        <w:rPr>
          <w:sz w:val="20"/>
          <w:szCs w:val="20"/>
        </w:rPr>
        <w:t xml:space="preserve">Période d'étude : 2022-01-01 → 2024-12-31</w:t>
      </w:r>
    </w:p>
    <w:p>
      <w:r>
        <w:br w:type="page"/>
      </w:r>
    </w:p>
    <w:p>
      <w:pPr>
        <w:pStyle w:val="Heading1"/>
        <w:spacing w:after="200" w:before="400"/>
      </w:pPr>
      <w:r>
        <w:t xml:space="preserve">Sommaire exécutif</w:t>
      </w:r>
    </w:p>
    <w:p>
      <w:pPr>
        <w:spacing w:after="120"/>
      </w:pPr>
      <w:r>
        <w:t xml:space="preserve">Ce rapport documente l'intégralité du pipeline InSAR développé pour mesurer le déplacement vertical de la tourbière de Rzecin (Pologne, ~89,7 ha) à partir de données Sentinel-1, en comparant une approche classique SBAS (MintPy), une approche personnalisée ISBAS pixel-par-pixel, et une approche alternative par paires annuelles inspirée d'une étude publiée sur un site comparable (Biebrza Valley, Pologne).</w:t>
      </w:r>
    </w:p>
    <w:p>
      <w:pPr>
        <w:pStyle w:val="Heading2"/>
        <w:spacing w:after="150" w:before="300"/>
      </w:pPr>
      <w:r>
        <w:t xml:space="preserve">Résultats clés</w:t>
      </w:r>
    </w:p>
    <w:p>
      <w:pPr>
        <w:pStyle w:val="ListParagraph"/>
        <w:numPr>
          <w:ilvl w:val="0"/>
          <w:numId w:val="1"/>
        </w:numPr>
        <w:spacing w:after="60"/>
      </w:pPr>
      <w:r>
        <w:t xml:space="preserve">Réseau interférométrique de 346 paires (2022–2024), 100 % connexe temporellement, cohérence validée y compris en été (0,31–0,35).</w:t>
      </w:r>
    </w:p>
    <w:p>
      <w:pPr>
        <w:pStyle w:val="ListParagraph"/>
        <w:numPr>
          <w:ilvl w:val="0"/>
          <w:numId w:val="1"/>
        </w:numPr>
        <w:spacing w:after="60"/>
      </w:pPr>
      <w:r>
        <w:t xml:space="preserve">SBAS classique (MintPy) : seulement 182 pixels résolus (1,0 % de la grille) — limitation physique documentée, pas un défaut du code : la correction d'erreur de déroulement de MintPy (bridging ET phase_closure) s'est avérée structurellement inapplicable, phase_closure rapportant lui-même « 0 région commune » sur les 346 interférogrammes.</w:t>
      </w:r>
    </w:p>
    <w:p>
      <w:pPr>
        <w:pStyle w:val="ListParagraph"/>
        <w:numPr>
          <w:ilvl w:val="0"/>
          <w:numId w:val="1"/>
        </w:numPr>
        <w:spacing w:after="60"/>
      </w:pPr>
      <w:r>
        <w:t xml:space="preserve">ISBAS personnalisé : 14 043 pixels résolus (79 % de la grille), soit un gain de 77× par rapport au SBAS, avec un contrôle qualité chiffré (fermeture de triplets).</w:t>
      </w:r>
    </w:p>
    <w:p>
      <w:pPr>
        <w:pStyle w:val="ListParagraph"/>
        <w:numPr>
          <w:ilvl w:val="0"/>
          <w:numId w:val="1"/>
        </w:numPr>
        <w:spacing w:after="60"/>
      </w:pPr>
      <w:r>
        <w:t xml:space="preserve">Indice de qualité conceptuel (W_i) : gain de cohérence de +9,6 % en zone de transition (classe D), confirmant l'intérêt de la pondération conditionnelle hors-eau.</w:t>
      </w:r>
    </w:p>
    <w:p>
      <w:pPr>
        <w:pStyle w:val="ListParagraph"/>
        <w:numPr>
          <w:ilvl w:val="0"/>
          <w:numId w:val="1"/>
        </w:numPr>
        <w:spacing w:after="60"/>
      </w:pPr>
      <w:r>
        <w:t xml:space="preserve">Approche par paires annuelles (Phase 15, inspirée de Ghezelayagh et al. 2024) : après correction des artefacts (saut de déroulement, rampe orbitale résiduelle), tendance quasi nulle (médiane -0,3 mm/an) ne reproduisant pas les -14,4 mm/an rapportés dans la littérature — résultat honnête discuté en section 9.</w:t>
      </w:r>
    </w:p>
    <w:p>
      <w:pPr>
        <w:pStyle w:val="ListParagraph"/>
        <w:numPr>
          <w:ilvl w:val="0"/>
          <w:numId w:val="1"/>
        </w:numPr>
        <w:spacing w:after="60"/>
      </w:pPr>
      <w:r>
        <w:t xml:space="preserve">L'ensemble du pipeline (14 phases + 1 phase complémentaire), le code source et les 8 corrections de bugs documentées sont versionnés sur GitHub (branche claude/insar-wetlands-pipeline-mqd0qv, sorties sur les branches outputs/phaseXX).</w:t>
      </w:r>
    </w:p>
    <w:p>
      <w:pPr>
        <w:pStyle w:val="Heading1"/>
        <w:spacing w:after="200" w:before="400"/>
      </w:pPr>
      <w:r>
        <w:t xml:space="preserve">1. Contexte et zone d'étude</w:t>
      </w:r>
    </w:p>
    <w:p>
      <w:pPr>
        <w:spacing w:after="120"/>
      </w:pPr>
      <w:r>
        <w:t xml:space="preserve">Site : tourbière de Rzecin, nord-ouest de la Pologne. Surface mesurée du polygone AOI : 89,7 ha (le document de thèse initial mentionnait 60 ha ; le polygone fourni par l'utilisateur fait foi).</w:t>
      </w:r>
    </w:p>
    <w:p>
      <w:pPr>
        <w:spacing w:after="120"/>
      </w:pPr>
      <w:r>
        <w:t xml:space="preserve">Rzecin est un site de recherche connu (tour à flux LTER), possiblement partiellement restauré/réhumidifié — point pertinent pour l'interprétation des résultats de la Phase 15 (section 9).</w:t>
      </w:r>
    </w:p>
    <w:p>
      <w:pPr>
        <w:pStyle w:val="Heading2"/>
        <w:spacing w:after="150" w:before="300"/>
      </w:pPr>
      <w:r>
        <w:t xml:space="preserve">1.1 Configuration Sentinel-1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3864" w:val="clear"/>
            <w:tcMar>
              <w:top w:type="dxa" w:w="60"/>
              <w:left w:type="dxa" w:w="100"/>
              <w:bottom w:type="dxa" w:w="60"/>
              <w:right w:type="dxa" w:w="100"/>
            </w:tcMar>
          </w:tcPr>
          <w:p>
            <w:r>
              <w:rPr>
                <w:b/>
                <w:bCs/>
                <w:color w:val="FFFFFF"/>
                <w:sz w:val="20"/>
                <w:szCs w:val="20"/>
              </w:rPr>
              <w:t xml:space="preserve">Paramètre</w:t>
            </w:r>
          </w:p>
        </w:tc>
        <w:tc>
          <w:tcPr>
            <w:tcW w:type="dxa" w:w="4500"/>
            <w:shd w:fill="1F3864" w:val="clear"/>
            <w:tcMar>
              <w:top w:type="dxa" w:w="60"/>
              <w:left w:type="dxa" w:w="100"/>
              <w:bottom w:type="dxa" w:w="60"/>
              <w:right w:type="dxa" w:w="100"/>
            </w:tcMar>
          </w:tcPr>
          <w:p>
            <w:r>
              <w:rPr>
                <w:b/>
                <w:bCs/>
                <w:color w:val="FFFFFF"/>
                <w:sz w:val="20"/>
                <w:szCs w:val="20"/>
              </w:rPr>
              <w:t xml:space="preserve">Valeur</w:t>
            </w:r>
          </w:p>
        </w:tc>
      </w:tr>
      <w:tr>
        <w:tc>
          <w:tcPr>
            <w:tcW w:type="dxa" w:w="4500"/>
            <w:tcMar>
              <w:top w:type="dxa" w:w="60"/>
              <w:left w:type="dxa" w:w="100"/>
              <w:bottom w:type="dxa" w:w="60"/>
              <w:right w:type="dxa" w:w="100"/>
            </w:tcMar>
          </w:tcPr>
          <w:p>
            <w:r>
              <w:rPr>
                <w:b w:val="false"/>
                <w:bCs w:val="false"/>
                <w:color w:val="000000"/>
                <w:sz w:val="20"/>
                <w:szCs w:val="20"/>
              </w:rPr>
              <w:t xml:space="preserve">Trace</w:t>
            </w:r>
          </w:p>
        </w:tc>
        <w:tc>
          <w:tcPr>
            <w:tcW w:type="dxa" w:w="4500"/>
            <w:tcMar>
              <w:top w:type="dxa" w:w="60"/>
              <w:left w:type="dxa" w:w="100"/>
              <w:bottom w:type="dxa" w:w="60"/>
              <w:right w:type="dxa" w:w="100"/>
            </w:tcMar>
          </w:tcPr>
          <w:p>
            <w:r>
              <w:rPr>
                <w:b w:val="false"/>
                <w:bCs w:val="false"/>
                <w:color w:val="000000"/>
                <w:sz w:val="20"/>
                <w:szCs w:val="20"/>
              </w:rPr>
              <w:t xml:space="preserve">ASCENDING, orbite relative 175</w:t>
            </w:r>
          </w:p>
        </w:tc>
      </w:tr>
      <w:tr>
        <w:tc>
          <w:tcPr>
            <w:tcW w:type="dxa" w:w="4500"/>
            <w:tcMar>
              <w:top w:type="dxa" w:w="60"/>
              <w:left w:type="dxa" w:w="100"/>
              <w:bottom w:type="dxa" w:w="60"/>
              <w:right w:type="dxa" w:w="100"/>
            </w:tcMar>
          </w:tcPr>
          <w:p>
            <w:r>
              <w:rPr>
                <w:b w:val="false"/>
                <w:bCs w:val="false"/>
                <w:color w:val="000000"/>
                <w:sz w:val="20"/>
                <w:szCs w:val="20"/>
              </w:rPr>
              <w:t xml:space="preserve">Burst</w:t>
            </w:r>
          </w:p>
        </w:tc>
        <w:tc>
          <w:tcPr>
            <w:tcW w:type="dxa" w:w="4500"/>
            <w:tcMar>
              <w:top w:type="dxa" w:w="60"/>
              <w:left w:type="dxa" w:w="100"/>
              <w:bottom w:type="dxa" w:w="60"/>
              <w:right w:type="dxa" w:w="100"/>
            </w:tcMar>
          </w:tcPr>
          <w:p>
            <w:r>
              <w:rPr>
                <w:b w:val="false"/>
                <w:bCs w:val="false"/>
                <w:color w:val="000000"/>
                <w:sz w:val="20"/>
                <w:szCs w:val="20"/>
              </w:rPr>
              <w:t xml:space="preserve">175_374052_IW1</w:t>
            </w:r>
          </w:p>
        </w:tc>
      </w:tr>
      <w:tr>
        <w:tc>
          <w:tcPr>
            <w:tcW w:type="dxa" w:w="4500"/>
            <w:tcMar>
              <w:top w:type="dxa" w:w="60"/>
              <w:left w:type="dxa" w:w="100"/>
              <w:bottom w:type="dxa" w:w="60"/>
              <w:right w:type="dxa" w:w="100"/>
            </w:tcMar>
          </w:tcPr>
          <w:p>
            <w:r>
              <w:rPr>
                <w:b w:val="false"/>
                <w:bCs w:val="false"/>
                <w:color w:val="000000"/>
                <w:sz w:val="20"/>
                <w:szCs w:val="20"/>
              </w:rPr>
              <w:t xml:space="preserve">Couverture AOI</w:t>
            </w:r>
          </w:p>
        </w:tc>
        <w:tc>
          <w:tcPr>
            <w:tcW w:type="dxa" w:w="4500"/>
            <w:tcMar>
              <w:top w:type="dxa" w:w="60"/>
              <w:left w:type="dxa" w:w="100"/>
              <w:bottom w:type="dxa" w:w="60"/>
              <w:right w:type="dxa" w:w="100"/>
            </w:tcMar>
          </w:tcPr>
          <w:p>
            <w:r>
              <w:rPr>
                <w:b w:val="false"/>
                <w:bCs w:val="false"/>
                <w:color w:val="000000"/>
                <w:sz w:val="20"/>
                <w:szCs w:val="20"/>
              </w:rPr>
              <w:t xml:space="preserve">100 % (vérifiée par empreinte réelle du burst, pas juste intersection)</w:t>
            </w:r>
          </w:p>
        </w:tc>
      </w:tr>
      <w:tr>
        <w:tc>
          <w:tcPr>
            <w:tcW w:type="dxa" w:w="4500"/>
            <w:tcMar>
              <w:top w:type="dxa" w:w="60"/>
              <w:left w:type="dxa" w:w="100"/>
              <w:bottom w:type="dxa" w:w="60"/>
              <w:right w:type="dxa" w:w="100"/>
            </w:tcMar>
          </w:tcPr>
          <w:p>
            <w:r>
              <w:rPr>
                <w:b w:val="false"/>
                <w:bCs w:val="false"/>
                <w:color w:val="000000"/>
                <w:sz w:val="20"/>
                <w:szCs w:val="20"/>
              </w:rPr>
              <w:t xml:space="preserve">Période</w:t>
            </w:r>
          </w:p>
        </w:tc>
        <w:tc>
          <w:tcPr>
            <w:tcW w:type="dxa" w:w="4500"/>
            <w:tcMar>
              <w:top w:type="dxa" w:w="60"/>
              <w:left w:type="dxa" w:w="100"/>
              <w:bottom w:type="dxa" w:w="60"/>
              <w:right w:type="dxa" w:w="100"/>
            </w:tcMar>
          </w:tcPr>
          <w:p>
            <w:r>
              <w:rPr>
                <w:b w:val="false"/>
                <w:bCs w:val="false"/>
                <w:color w:val="000000"/>
                <w:sz w:val="20"/>
                <w:szCs w:val="20"/>
              </w:rPr>
              <w:t xml:space="preserve">2022-01-01 → 2024-12-31 (3 ans, choix utilisateur)</w:t>
            </w:r>
          </w:p>
        </w:tc>
      </w:tr>
      <w:tr>
        <w:tc>
          <w:tcPr>
            <w:tcW w:type="dxa" w:w="4500"/>
            <w:tcMar>
              <w:top w:type="dxa" w:w="60"/>
              <w:left w:type="dxa" w:w="100"/>
              <w:bottom w:type="dxa" w:w="60"/>
              <w:right w:type="dxa" w:w="100"/>
            </w:tcMar>
          </w:tcPr>
          <w:p>
            <w:r>
              <w:rPr>
                <w:b w:val="false"/>
                <w:bCs w:val="false"/>
                <w:color w:val="000000"/>
                <w:sz w:val="20"/>
                <w:szCs w:val="20"/>
              </w:rPr>
              <w:t xml:space="preserve">Cadence</w:t>
            </w:r>
          </w:p>
        </w:tc>
        <w:tc>
          <w:tcPr>
            <w:tcW w:type="dxa" w:w="4500"/>
            <w:tcMar>
              <w:top w:type="dxa" w:w="60"/>
              <w:left w:type="dxa" w:w="100"/>
              <w:bottom w:type="dxa" w:w="60"/>
              <w:right w:type="dxa" w:w="100"/>
            </w:tcMar>
          </w:tcPr>
          <w:p>
            <w:r>
              <w:rPr>
                <w:b w:val="false"/>
                <w:bCs w:val="false"/>
                <w:color w:val="000000"/>
                <w:sz w:val="20"/>
                <w:szCs w:val="20"/>
              </w:rPr>
              <w:t xml:space="preserve">~12 jours (90 dates disponibles)</w:t>
            </w:r>
          </w:p>
        </w:tc>
      </w:tr>
      <w:tr>
        <w:tc>
          <w:tcPr>
            <w:tcW w:type="dxa" w:w="4500"/>
            <w:tcMar>
              <w:top w:type="dxa" w:w="60"/>
              <w:left w:type="dxa" w:w="100"/>
              <w:bottom w:type="dxa" w:w="60"/>
              <w:right w:type="dxa" w:w="100"/>
            </w:tcMar>
          </w:tcPr>
          <w:p>
            <w:r>
              <w:rPr>
                <w:b w:val="false"/>
                <w:bCs w:val="false"/>
                <w:color w:val="000000"/>
                <w:sz w:val="20"/>
                <w:szCs w:val="20"/>
              </w:rPr>
              <w:t xml:space="preserve">Looks</w:t>
            </w:r>
          </w:p>
        </w:tc>
        <w:tc>
          <w:tcPr>
            <w:tcW w:type="dxa" w:w="4500"/>
            <w:tcMar>
              <w:top w:type="dxa" w:w="60"/>
              <w:left w:type="dxa" w:w="100"/>
              <w:bottom w:type="dxa" w:w="60"/>
              <w:right w:type="dxa" w:w="100"/>
            </w:tcMar>
          </w:tcPr>
          <w:p>
            <w:r>
              <w:rPr>
                <w:b w:val="false"/>
                <w:bCs w:val="false"/>
                <w:color w:val="000000"/>
                <w:sz w:val="20"/>
                <w:szCs w:val="20"/>
              </w:rPr>
              <w:t xml:space="preserve">10×2 (~40 m de résolution)</w:t>
            </w:r>
          </w:p>
        </w:tc>
      </w:tr>
    </w:tbl>
    <w:p>
      <w:pPr>
        <w:pBdr>
          <w:left w:val="single" w:color="2E7D6B" w:sz="12" w:space="8"/>
        </w:pBdr>
        <w:spacing w:after="200" w:before="100"/>
      </w:pPr>
      <w:r>
        <w:rPr>
          <w:i/>
          <w:iCs/>
          <w:color w:val="666666"/>
        </w:rPr>
        <w:t xml:space="preserve">Note méthodologique : la période choisie (2022–2024) exclut les intervalles à 6 jours (tandem S1A/S1B en 2021, tandem S1A/S1C à partir de 2025), qui auraient offert une meilleure cohérence. Ce compromis, décidé par l'utilisateur, est documenté dans la configuration.</w:t>
      </w:r>
    </w:p>
    <w:p>
      <w:pPr>
        <w:pStyle w:val="Heading1"/>
        <w:spacing w:after="200" w:before="400"/>
      </w:pPr>
      <w:r>
        <w:t xml:space="preserve">2. Phase 1 — Acquisition multi-source</w:t>
      </w:r>
    </w:p>
    <w:p>
      <w:pPr>
        <w:spacing w:after="120"/>
      </w:pPr>
      <w:r>
        <w:t xml:space="preserve">Inventaire des acquisitions Sentinel-1 (bursts), Sentinel-2 (L2A, &lt;20 % nuages) et téléchargement ERA5 (précipitations, température, vapeur d'eau).</w:t>
      </w:r>
    </w:p>
    <w:p>
      <w:pPr>
        <w:pStyle w:val="Heading2"/>
        <w:spacing w:after="150" w:before="300"/>
      </w:pPr>
      <w:r>
        <w:t xml:space="preserve">2.1 Résultats</w:t>
      </w:r>
    </w:p>
    <w:p>
      <w:pPr>
        <w:pStyle w:val="ListParagraph"/>
        <w:numPr>
          <w:ilvl w:val="0"/>
          <w:numId w:val="1"/>
        </w:numPr>
        <w:spacing w:after="60"/>
      </w:pPr>
      <w:r>
        <w:t xml:space="preserve">90 dates Sentinel-1 sur la trace/burst retenu, gaps ≤ 24 jours (aucun trou majeur).</w:t>
      </w:r>
    </w:p>
    <w:p>
      <w:pPr>
        <w:pStyle w:val="ListParagraph"/>
        <w:numPr>
          <w:ilvl w:val="0"/>
          <w:numId w:val="1"/>
        </w:numPr>
        <w:spacing w:after="60"/>
      </w:pPr>
      <w:r>
        <w:t xml:space="preserve">131 scènes Sentinel-2 cataloguées sur l'ensemble de la période disponible (2021–2026), asymétrie temporelle S1/S2 médiane de 6 jours.</w:t>
      </w:r>
    </w:p>
    <w:p>
      <w:pPr>
        <w:pStyle w:val="ListParagraph"/>
        <w:numPr>
          <w:ilvl w:val="0"/>
          <w:numId w:val="1"/>
        </w:numPr>
        <w:spacing w:after="60"/>
      </w:pPr>
      <w:r>
        <w:t xml:space="preserve">ERA5 (t2m, tcwv, tp) téléchargé avec succès après résolution de deux bugs du backend CDS (voir 2.2).</w:t>
      </w:r>
    </w:p>
    <w:p>
      <w:pPr>
        <w:pStyle w:val="Heading2"/>
        <w:spacing w:after="150" w:before="300"/>
      </w:pPr>
      <w:r>
        <w:t xml:space="preserve">2.2 Bugs rencontrés et corrigés</w:t>
      </w:r>
    </w:p>
    <w:p>
      <w:pPr>
        <w:pStyle w:val="ListParagraph"/>
        <w:numPr>
          <w:ilvl w:val="0"/>
          <w:numId w:val="1"/>
        </w:numPr>
        <w:spacing w:after="60"/>
      </w:pPr>
      <w:r>
        <w:t xml:space="preserve">Kernel Colab redémarré en cours de session → fichiers ~/.netrc et ~/.cdsapirc perdus → ajout d'une auto-réparation (_ensure_cdsapirc) dans le code.</w:t>
      </w:r>
    </w:p>
    <w:p>
      <w:pPr>
        <w:pStyle w:val="ListParagraph"/>
        <w:numPr>
          <w:ilvl w:val="0"/>
          <w:numId w:val="1"/>
        </w:numPr>
        <w:spacing w:after="60"/>
      </w:pPr>
      <w:r>
        <w:t xml:space="preserve">Le nouveau backend CDS impose des limites de coût par requête ("cost limits exceeded") → stratégie de téléchargement par année plutôt qu'en une seule requête pluriannuelle.</w:t>
      </w:r>
    </w:p>
    <w:p>
      <w:pPr>
        <w:pStyle w:val="ListParagraph"/>
        <w:numPr>
          <w:ilvl w:val="0"/>
          <w:numId w:val="1"/>
        </w:numPr>
        <w:spacing w:after="60"/>
      </w:pPr>
      <w:r>
        <w:t xml:space="preserve">Le CDS renvoie parfois un fichier ZIP déguisé en .nc → détection et extraction automatique (_unwrap_if_zipped).</w:t>
      </w:r>
    </w:p>
    <w:p>
      <w:pPr>
        <w:pStyle w:val="ListParagraph"/>
        <w:numPr>
          <w:ilvl w:val="0"/>
          <w:numId w:val="1"/>
        </w:numPr>
        <w:spacing w:after="60"/>
      </w:pPr>
      <w:r>
        <w:t xml:space="preserve">La conversion GRIB→netCDF du CDS sépare les variables instantanées (t2m, tcwv) des variables accumulées (tp) et peut supprimer silencieusement ces dernières → détection automatique des variables manquantes et re-téléchargement ciblé (_missing_variables / _backfill_missing_vars).</w:t>
      </w:r>
    </w:p>
    <w:p>
      <w:pPr>
        <w:pStyle w:val="ListParagraph"/>
        <w:numPr>
          <w:ilvl w:val="0"/>
          <w:numId w:val="1"/>
        </w:numPr>
        <w:spacing w:after="60"/>
      </w:pPr>
      <w:r>
        <w:t xml:space="preserve">Étiquette d'axe trompeuse sur le graphe de précipitation (attribut d'unité "m" survivant à la conversion en mm) → attributs explicitement réinitialisés.</w:t>
      </w:r>
    </w:p>
    <w:p>
      <w:pPr>
        <w:pStyle w:val="Heading1"/>
        <w:spacing w:after="200" w:before="400"/>
      </w:pPr>
      <w:r>
        <w:t xml:space="preserve">3. Phase 2 — Interférogrammes HyP3 (réseau SBAS)</w:t>
      </w:r>
    </w:p>
    <w:p>
      <w:pPr>
        <w:spacing w:after="120"/>
      </w:pPr>
      <w:r>
        <w:t xml:space="preserve">Soumission du réseau interférométrique complet via HyP3 (produit INSAR_ISCE_BURST), en deux temps : un lot test de 12 paires trimestrielles pour valider la cohérence avant d'engager le réseau complet.</w:t>
      </w:r>
    </w:p>
    <w:p>
      <w:pPr>
        <w:pStyle w:val="Heading2"/>
        <w:spacing w:after="150" w:before="300"/>
      </w:pPr>
      <w:r>
        <w:t xml:space="preserve">3.1 Résultats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3864" w:val="clear"/>
            <w:tcMar>
              <w:top w:type="dxa" w:w="60"/>
              <w:left w:type="dxa" w:w="100"/>
              <w:bottom w:type="dxa" w:w="60"/>
              <w:right w:type="dxa" w:w="100"/>
            </w:tcMar>
          </w:tcPr>
          <w:p>
            <w:r>
              <w:rPr>
                <w:b/>
                <w:bCs/>
                <w:color w:val="FFFFFF"/>
                <w:sz w:val="20"/>
                <w:szCs w:val="20"/>
              </w:rPr>
              <w:t xml:space="preserve">Étape</w:t>
            </w:r>
          </w:p>
        </w:tc>
        <w:tc>
          <w:tcPr>
            <w:tcW w:type="dxa" w:w="4500"/>
            <w:shd w:fill="1F3864" w:val="clear"/>
            <w:tcMar>
              <w:top w:type="dxa" w:w="60"/>
              <w:left w:type="dxa" w:w="100"/>
              <w:bottom w:type="dxa" w:w="60"/>
              <w:right w:type="dxa" w:w="100"/>
            </w:tcMar>
          </w:tcPr>
          <w:p>
            <w:r>
              <w:rPr>
                <w:b/>
                <w:bCs/>
                <w:color w:val="FFFFFF"/>
                <w:sz w:val="20"/>
                <w:szCs w:val="20"/>
              </w:rPr>
              <w:t xml:space="preserve">Résultat</w:t>
            </w:r>
          </w:p>
        </w:tc>
      </w:tr>
      <w:tr>
        <w:tc>
          <w:tcPr>
            <w:tcW w:type="dxa" w:w="4500"/>
            <w:tcMar>
              <w:top w:type="dxa" w:w="60"/>
              <w:left w:type="dxa" w:w="100"/>
              <w:bottom w:type="dxa" w:w="60"/>
              <w:right w:type="dxa" w:w="100"/>
            </w:tcMar>
          </w:tcPr>
          <w:p>
            <w:r>
              <w:rPr>
                <w:b w:val="false"/>
                <w:bCs w:val="false"/>
                <w:color w:val="000000"/>
                <w:sz w:val="20"/>
                <w:szCs w:val="20"/>
              </w:rPr>
              <w:t xml:space="preserve">Lot test</w:t>
            </w:r>
          </w:p>
        </w:tc>
        <w:tc>
          <w:tcPr>
            <w:tcW w:type="dxa" w:w="4500"/>
            <w:tcMar>
              <w:top w:type="dxa" w:w="60"/>
              <w:left w:type="dxa" w:w="100"/>
              <w:bottom w:type="dxa" w:w="60"/>
              <w:right w:type="dxa" w:w="100"/>
            </w:tcMar>
          </w:tcPr>
          <w:p>
            <w:r>
              <w:rPr>
                <w:b w:val="false"/>
                <w:bCs w:val="false"/>
                <w:color w:val="000000"/>
                <w:sz w:val="20"/>
                <w:szCs w:val="20"/>
              </w:rPr>
              <w:t xml:space="preserve">12 paires, cohérence AOI 0,31–0,93 selon la saison — validé, y compris en été</w:t>
            </w:r>
          </w:p>
        </w:tc>
      </w:tr>
      <w:tr>
        <w:tc>
          <w:tcPr>
            <w:tcW w:type="dxa" w:w="4500"/>
            <w:tcMar>
              <w:top w:type="dxa" w:w="60"/>
              <w:left w:type="dxa" w:w="100"/>
              <w:bottom w:type="dxa" w:w="60"/>
              <w:right w:type="dxa" w:w="100"/>
            </w:tcMar>
          </w:tcPr>
          <w:p>
            <w:r>
              <w:rPr>
                <w:b w:val="false"/>
                <w:bCs w:val="false"/>
                <w:color w:val="000000"/>
                <w:sz w:val="20"/>
                <w:szCs w:val="20"/>
              </w:rPr>
              <w:t xml:space="preserve">Réseau complet</w:t>
            </w:r>
          </w:p>
        </w:tc>
        <w:tc>
          <w:tcPr>
            <w:tcW w:type="dxa" w:w="4500"/>
            <w:tcMar>
              <w:top w:type="dxa" w:w="60"/>
              <w:left w:type="dxa" w:w="100"/>
              <w:bottom w:type="dxa" w:w="60"/>
              <w:right w:type="dxa" w:w="100"/>
            </w:tcMar>
          </w:tcPr>
          <w:p>
            <w:r>
              <w:rPr>
                <w:b w:val="false"/>
                <w:bCs w:val="false"/>
                <w:color w:val="000000"/>
                <w:sz w:val="20"/>
                <w:szCs w:val="20"/>
              </w:rPr>
              <w:t xml:space="preserve">346 paires (max baseline temporelle 48 jours)</w:t>
            </w:r>
          </w:p>
        </w:tc>
      </w:tr>
      <w:tr>
        <w:tc>
          <w:tcPr>
            <w:tcW w:type="dxa" w:w="4500"/>
            <w:tcMar>
              <w:top w:type="dxa" w:w="60"/>
              <w:left w:type="dxa" w:w="100"/>
              <w:bottom w:type="dxa" w:w="60"/>
              <w:right w:type="dxa" w:w="100"/>
            </w:tcMar>
          </w:tcPr>
          <w:p>
            <w:r>
              <w:rPr>
                <w:b w:val="false"/>
                <w:bCs w:val="false"/>
                <w:color w:val="000000"/>
                <w:sz w:val="20"/>
                <w:szCs w:val="20"/>
              </w:rPr>
              <w:t xml:space="preserve">Crédits HyP3 consommés</w:t>
            </w:r>
          </w:p>
        </w:tc>
        <w:tc>
          <w:tcPr>
            <w:tcW w:type="dxa" w:w="4500"/>
            <w:tcMar>
              <w:top w:type="dxa" w:w="60"/>
              <w:left w:type="dxa" w:w="100"/>
              <w:bottom w:type="dxa" w:w="60"/>
              <w:right w:type="dxa" w:w="100"/>
            </w:tcMar>
          </w:tcPr>
          <w:p>
            <w:r>
              <w:rPr>
                <w:b w:val="false"/>
                <w:bCs w:val="false"/>
                <w:color w:val="000000"/>
                <w:sz w:val="20"/>
                <w:szCs w:val="20"/>
              </w:rPr>
              <w:t xml:space="preserve">~346 (solde ~7 643 / 7 989 initiaux)</w:t>
            </w:r>
          </w:p>
        </w:tc>
      </w:tr>
      <w:tr>
        <w:tc>
          <w:tcPr>
            <w:tcW w:type="dxa" w:w="4500"/>
            <w:tcMar>
              <w:top w:type="dxa" w:w="60"/>
              <w:left w:type="dxa" w:w="100"/>
              <w:bottom w:type="dxa" w:w="60"/>
              <w:right w:type="dxa" w:w="100"/>
            </w:tcMar>
          </w:tcPr>
          <w:p>
            <w:r>
              <w:rPr>
                <w:b w:val="false"/>
                <w:bCs w:val="false"/>
                <w:color w:val="000000"/>
                <w:sz w:val="20"/>
                <w:szCs w:val="20"/>
              </w:rPr>
              <w:t xml:space="preserve">Téléchargement</w:t>
            </w:r>
          </w:p>
        </w:tc>
        <w:tc>
          <w:tcPr>
            <w:tcW w:type="dxa" w:w="4500"/>
            <w:tcMar>
              <w:top w:type="dxa" w:w="60"/>
              <w:left w:type="dxa" w:w="100"/>
              <w:bottom w:type="dxa" w:w="60"/>
              <w:right w:type="dxa" w:w="100"/>
            </w:tcMar>
          </w:tcPr>
          <w:p>
            <w:r>
              <w:rPr>
                <w:b w:val="false"/>
                <w:bCs w:val="false"/>
                <w:color w:val="000000"/>
                <w:sz w:val="20"/>
                <w:szCs w:val="20"/>
              </w:rPr>
              <w:t xml:space="preserve">346/346 produits croppés avec succès</w:t>
            </w:r>
          </w:p>
        </w:tc>
      </w:tr>
    </w:tbl>
    <w:p>
      <w:pPr>
        <w:pStyle w:val="Heading2"/>
        <w:spacing w:after="150" w:before="300"/>
      </w:pPr>
      <w:r>
        <w:t xml:space="preserve">3.2 Bug majeur découvert et corrigé</w:t>
      </w:r>
    </w:p>
    <w:p>
      <w:pPr>
        <w:spacing w:after="120"/>
      </w:pPr>
      <w:r>
        <w:t xml:space="preserve">Les produits HyP3 de type INSAR_ISCE_BURST nomment le fichier des composantes connexes "_conncomp.tif" (sans underscore médian), alors que le code initial cherchait "_conn_comp.tif" (convention des produits GAMMA). Cette erreur a fait perdre silencieusement cette couche — et le fichier d'amplitude — sur les 346 paires lors du crop initial, avec suppression des zips sources. Cette découverte, faite en analysant le code source de hyp3-isce2, a nécessité un re-téléchargement complet (gratuit, les jobs restant disponibles 14 jours chez HyP3) et a été la cause racine de plusieurs blocages ultérieurs en Phase 8.</w:t>
      </w:r>
    </w:p>
    <w:p>
      <w:pPr>
        <w:pStyle w:val="Heading1"/>
        <w:spacing w:after="200" w:before="400"/>
      </w:pPr>
      <w:r>
        <w:t xml:space="preserve">4. Phase 3 — Contrôle qualité du réseau</w:t>
      </w:r>
    </w:p>
    <w:p>
      <w:pPr>
        <w:spacing w:after="120"/>
      </w:pPr>
      <w:r>
        <w:t xml:space="preserve">Vérification de la cohérence par paire et de la connectivité temporelle du réseau (condition nécessaire à l'inversion SBAS).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3864" w:val="clear"/>
            <w:tcMar>
              <w:top w:type="dxa" w:w="60"/>
              <w:left w:type="dxa" w:w="100"/>
              <w:bottom w:type="dxa" w:w="60"/>
              <w:right w:type="dxa" w:w="100"/>
            </w:tcMar>
          </w:tcPr>
          <w:p>
            <w:r>
              <w:rPr>
                <w:b/>
                <w:bCs/>
                <w:color w:val="FFFFFF"/>
                <w:sz w:val="20"/>
                <w:szCs w:val="20"/>
              </w:rPr>
              <w:t xml:space="preserve">Métrique</w:t>
            </w:r>
          </w:p>
        </w:tc>
        <w:tc>
          <w:tcPr>
            <w:tcW w:type="dxa" w:w="4500"/>
            <w:shd w:fill="1F3864" w:val="clear"/>
            <w:tcMar>
              <w:top w:type="dxa" w:w="60"/>
              <w:left w:type="dxa" w:w="100"/>
              <w:bottom w:type="dxa" w:w="60"/>
              <w:right w:type="dxa" w:w="100"/>
            </w:tcMar>
          </w:tcPr>
          <w:p>
            <w:r>
              <w:rPr>
                <w:b/>
                <w:bCs/>
                <w:color w:val="FFFFFF"/>
                <w:sz w:val="20"/>
                <w:szCs w:val="20"/>
              </w:rPr>
              <w:t xml:space="preserve">Valeur</w:t>
            </w:r>
          </w:p>
        </w:tc>
      </w:tr>
      <w:tr>
        <w:tc>
          <w:tcPr>
            <w:tcW w:type="dxa" w:w="4500"/>
            <w:tcMar>
              <w:top w:type="dxa" w:w="60"/>
              <w:left w:type="dxa" w:w="100"/>
              <w:bottom w:type="dxa" w:w="60"/>
              <w:right w:type="dxa" w:w="100"/>
            </w:tcMar>
          </w:tcPr>
          <w:p>
            <w:r>
              <w:rPr>
                <w:b w:val="false"/>
                <w:bCs w:val="false"/>
                <w:color w:val="000000"/>
                <w:sz w:val="20"/>
                <w:szCs w:val="20"/>
              </w:rPr>
              <w:t xml:space="preserve">Paires conservées (seuil 0,30)</w:t>
            </w:r>
          </w:p>
        </w:tc>
        <w:tc>
          <w:tcPr>
            <w:tcW w:type="dxa" w:w="4500"/>
            <w:tcMar>
              <w:top w:type="dxa" w:w="60"/>
              <w:left w:type="dxa" w:w="100"/>
              <w:bottom w:type="dxa" w:w="60"/>
              <w:right w:type="dxa" w:w="100"/>
            </w:tcMar>
          </w:tcPr>
          <w:p>
            <w:r>
              <w:rPr>
                <w:b w:val="false"/>
                <w:bCs w:val="false"/>
                <w:color w:val="000000"/>
                <w:sz w:val="20"/>
                <w:szCs w:val="20"/>
              </w:rPr>
              <w:t xml:space="preserve">~250–280 / 346</w:t>
            </w:r>
          </w:p>
        </w:tc>
      </w:tr>
      <w:tr>
        <w:tc>
          <w:tcPr>
            <w:tcW w:type="dxa" w:w="4500"/>
            <w:tcMar>
              <w:top w:type="dxa" w:w="60"/>
              <w:left w:type="dxa" w:w="100"/>
              <w:bottom w:type="dxa" w:w="60"/>
              <w:right w:type="dxa" w:w="100"/>
            </w:tcMar>
          </w:tcPr>
          <w:p>
            <w:r>
              <w:rPr>
                <w:b w:val="false"/>
                <w:bCs w:val="false"/>
                <w:color w:val="000000"/>
                <w:sz w:val="20"/>
                <w:szCs w:val="20"/>
              </w:rPr>
              <w:t xml:space="preserve">Connectivité</w:t>
            </w:r>
          </w:p>
        </w:tc>
        <w:tc>
          <w:tcPr>
            <w:tcW w:type="dxa" w:w="4500"/>
            <w:tcMar>
              <w:top w:type="dxa" w:w="60"/>
              <w:left w:type="dxa" w:w="100"/>
              <w:bottom w:type="dxa" w:w="60"/>
              <w:right w:type="dxa" w:w="100"/>
            </w:tcMar>
          </w:tcPr>
          <w:p>
            <w:r>
              <w:rPr>
                <w:b w:val="false"/>
                <w:bCs w:val="false"/>
                <w:color w:val="000000"/>
                <w:sz w:val="20"/>
                <w:szCs w:val="20"/>
              </w:rPr>
              <w:t xml:space="preserve">1 seule composante (verdict "connexe")</w:t>
            </w:r>
          </w:p>
        </w:tc>
      </w:tr>
      <w:tr>
        <w:tc>
          <w:tcPr>
            <w:tcW w:type="dxa" w:w="4500"/>
            <w:tcMar>
              <w:top w:type="dxa" w:w="60"/>
              <w:left w:type="dxa" w:w="100"/>
              <w:bottom w:type="dxa" w:w="60"/>
              <w:right w:type="dxa" w:w="100"/>
            </w:tcMar>
          </w:tcPr>
          <w:p>
            <w:r>
              <w:rPr>
                <w:b w:val="false"/>
                <w:bCs w:val="false"/>
                <w:color w:val="000000"/>
                <w:sz w:val="20"/>
                <w:szCs w:val="20"/>
              </w:rPr>
              <w:t xml:space="preserve">Couverture du plus grand bloc</w:t>
            </w:r>
          </w:p>
        </w:tc>
        <w:tc>
          <w:tcPr>
            <w:tcW w:type="dxa" w:w="4500"/>
            <w:tcMar>
              <w:top w:type="dxa" w:w="60"/>
              <w:left w:type="dxa" w:w="100"/>
              <w:bottom w:type="dxa" w:w="60"/>
              <w:right w:type="dxa" w:w="100"/>
            </w:tcMar>
          </w:tcPr>
          <w:p>
            <w:r>
              <w:rPr>
                <w:b w:val="false"/>
                <w:bCs w:val="false"/>
                <w:color w:val="000000"/>
                <w:sz w:val="20"/>
                <w:szCs w:val="20"/>
              </w:rPr>
              <w:t xml:space="preserve">100 % des 90 dates</w:t>
            </w:r>
          </w:p>
        </w:tc>
      </w:tr>
      <w:tr>
        <w:tc>
          <w:tcPr>
            <w:tcW w:type="dxa" w:w="4500"/>
            <w:tcMar>
              <w:top w:type="dxa" w:w="60"/>
              <w:left w:type="dxa" w:w="100"/>
              <w:bottom w:type="dxa" w:w="60"/>
              <w:right w:type="dxa" w:w="100"/>
            </w:tcMar>
          </w:tcPr>
          <w:p>
            <w:r>
              <w:rPr>
                <w:b w:val="false"/>
                <w:bCs w:val="false"/>
                <w:color w:val="000000"/>
                <w:sz w:val="20"/>
                <w:szCs w:val="20"/>
              </w:rPr>
              <w:t xml:space="preserve">Dates orphelines</w:t>
            </w:r>
          </w:p>
        </w:tc>
        <w:tc>
          <w:tcPr>
            <w:tcW w:type="dxa" w:w="4500"/>
            <w:tcMar>
              <w:top w:type="dxa" w:w="60"/>
              <w:left w:type="dxa" w:w="100"/>
              <w:bottom w:type="dxa" w:w="60"/>
              <w:right w:type="dxa" w:w="100"/>
            </w:tcMar>
          </w:tcPr>
          <w:p>
            <w:r>
              <w:rPr>
                <w:b w:val="false"/>
                <w:bCs w:val="false"/>
                <w:color w:val="000000"/>
                <w:sz w:val="20"/>
                <w:szCs w:val="20"/>
              </w:rPr>
              <w:t xml:space="preserve">0</w:t>
            </w:r>
          </w:p>
        </w:tc>
      </w:tr>
    </w:tbl>
    <w:p>
      <w:pPr>
        <w:spacing w:after="120"/>
      </w:pPr>
      <w:r>
        <w:t xml:space="preserve">Résultat optimal : même l'été (végétation dense, décorrélation attendue) n'a pas suffi à fragmenter le réseau. Aucun pont temporel n'a été nécessaire.</w:t>
      </w:r>
    </w:p>
    <w:p>
      <w:pPr>
        <w:pStyle w:val="Heading1"/>
        <w:spacing w:after="200" w:before="400"/>
      </w:pPr>
      <w:r>
        <w:t xml:space="preserve">5. Phases 4–5 — Fusion optique et masque d'eau dynamique</w:t>
      </w:r>
    </w:p>
    <w:p>
      <w:pPr>
        <w:pStyle w:val="Heading2"/>
        <w:spacing w:after="150" w:before="300"/>
      </w:pPr>
      <w:r>
        <w:t xml:space="preserve">5.1 Phase 4 — Fusion Sentinel-2</w:t>
      </w:r>
    </w:p>
    <w:p>
      <w:pPr>
        <w:pStyle w:val="ListParagraph"/>
        <w:numPr>
          <w:ilvl w:val="0"/>
          <w:numId w:val="1"/>
        </w:numPr>
        <w:spacing w:after="60"/>
      </w:pPr>
      <w:r>
        <w:t xml:space="preserve">69 dates dans le stack final optique (NDWI/MNDWI), sur 72 scènes trouvées (3 doublons de tuile MGRS dédupliqués automatiquement).</w:t>
      </w:r>
    </w:p>
    <w:p>
      <w:pPr>
        <w:pStyle w:val="ListParagraph"/>
        <w:numPr>
          <w:ilvl w:val="0"/>
          <w:numId w:val="1"/>
        </w:numPr>
        <w:spacing w:after="60"/>
      </w:pPr>
      <w:r>
        <w:t xml:space="preserve">Rééchantillonnage en plus-proche-voisin (jamais bilinéaire) sur la grille radar, pour préserver les discontinuités eau/tourbe.</w:t>
      </w:r>
    </w:p>
    <w:p>
      <w:pPr>
        <w:pStyle w:val="ListParagraph"/>
        <w:numPr>
          <w:ilvl w:val="0"/>
          <w:numId w:val="1"/>
        </w:numPr>
        <w:spacing w:after="60"/>
      </w:pPr>
      <w:r>
        <w:t xml:space="preserve">Anomalie détectée : contamination par neige résiduelle non filtrée par le SCL Sentinel-2 sur la scène du 12 février 2022 → garde-fou ajouté en Phase 5 (exclusion des dates optiques sous 1 °C via ERA5 T2m).</w:t>
      </w:r>
    </w:p>
    <w:p>
      <w:pPr>
        <w:pStyle w:val="Heading2"/>
        <w:spacing w:after="150" w:before="300"/>
      </w:pPr>
      <w:r>
        <w:t xml:space="preserve">5.2 Phase 5 — Masque d'eau hybride</w:t>
      </w:r>
    </w:p>
    <w:p>
      <w:pPr>
        <w:pStyle w:val="ListParagraph"/>
        <w:numPr>
          <w:ilvl w:val="0"/>
          <w:numId w:val="1"/>
        </w:numPr>
        <w:spacing w:after="60"/>
      </w:pPr>
      <w:r>
        <w:t xml:space="preserve">Masque combinant NDWI/MNDWI (optique) et σ⁰ VV (radar, source Microsoft Planetary Computer — 85 scènes RTC, gratuit).</w:t>
      </w:r>
    </w:p>
    <w:p>
      <w:pPr>
        <w:pStyle w:val="ListParagraph"/>
        <w:numPr>
          <w:ilvl w:val="0"/>
          <w:numId w:val="1"/>
        </w:numPr>
        <w:spacing w:after="60"/>
      </w:pPr>
      <w:r>
        <w:t xml:space="preserve">Fraction inondée moyenne sur l'AOI : 0,12 — cohérente avec un lac permanent + zones de transition saisonnières.</w:t>
      </w:r>
    </w:p>
    <w:p>
      <w:pPr>
        <w:pStyle w:val="ListParagraph"/>
        <w:numPr>
          <w:ilvl w:val="0"/>
          <w:numId w:val="1"/>
        </w:numPr>
        <w:spacing w:after="60"/>
      </w:pPr>
      <w:r>
        <w:t xml:space="preserve">Pics de fraction inondée nettement plus marqués en 2024 (jusqu'à 0,34) que 2022–2023 (max ~0,17), plausiblement lié à une année plus pluvieuse (à confirmer en Phase 13, non réalisée dans cette itération).</w:t>
      </w:r>
    </w:p>
    <w:p>
      <w:pPr>
        <w:pStyle w:val="ListParagraph"/>
        <w:numPr>
          <w:ilvl w:val="0"/>
          <w:numId w:val="1"/>
        </w:numPr>
        <w:spacing w:after="60"/>
      </w:pPr>
      <w:r>
        <w:t xml:space="preserve">Bug corrigé : étiquette de légende erronée ("Sentinel-1 Calibrated and Terrain Corrected VV" au lieu de "Fraction du temps inondée") due à la persistance d'attributs xarray à travers les opérations .where()/.fillna().</w:t>
      </w:r>
    </w:p>
    <w:p>
      <w:pPr>
        <w:pStyle w:val="Heading1"/>
        <w:spacing w:after="200" w:before="400"/>
      </w:pPr>
      <w:r>
        <w:t xml:space="preserve">6. Phases 6–7 — Classification et indice de qualité</w:t>
      </w:r>
    </w:p>
    <w:p>
      <w:pPr>
        <w:pStyle w:val="Heading2"/>
        <w:spacing w:after="150" w:before="300"/>
      </w:pPr>
      <w:r>
        <w:t xml:space="preserve">6.1 Phase 6 — Classification comportementale (5 classes)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F3864" w:val="clear"/>
            <w:tcMar>
              <w:top w:type="dxa" w:w="60"/>
              <w:left w:type="dxa" w:w="100"/>
              <w:bottom w:type="dxa" w:w="60"/>
              <w:right w:type="dxa" w:w="100"/>
            </w:tcMar>
          </w:tcPr>
          <w:p>
            <w:r>
              <w:rPr>
                <w:b/>
                <w:bCs/>
                <w:color w:val="FFFFFF"/>
                <w:sz w:val="20"/>
                <w:szCs w:val="20"/>
              </w:rPr>
              <w:t xml:space="preserve">Classe</w:t>
            </w:r>
          </w:p>
        </w:tc>
        <w:tc>
          <w:tcPr>
            <w:tcW w:type="dxa" w:w="3000"/>
            <w:shd w:fill="1F3864" w:val="clear"/>
            <w:tcMar>
              <w:top w:type="dxa" w:w="60"/>
              <w:left w:type="dxa" w:w="100"/>
              <w:bottom w:type="dxa" w:w="60"/>
              <w:right w:type="dxa" w:w="100"/>
            </w:tcMar>
          </w:tcPr>
          <w:p>
            <w:r>
              <w:rPr>
                <w:b/>
                <w:bCs/>
                <w:color w:val="FFFFFF"/>
                <w:sz w:val="20"/>
                <w:szCs w:val="20"/>
              </w:rPr>
              <w:t xml:space="preserve">Description</w:t>
            </w:r>
          </w:p>
        </w:tc>
        <w:tc>
          <w:tcPr>
            <w:tcW w:type="dxa" w:w="3000"/>
            <w:shd w:fill="1F3864" w:val="clear"/>
            <w:tcMar>
              <w:top w:type="dxa" w:w="60"/>
              <w:left w:type="dxa" w:w="100"/>
              <w:bottom w:type="dxa" w:w="60"/>
              <w:right w:type="dxa" w:w="100"/>
            </w:tcMar>
          </w:tcPr>
          <w:p>
            <w:r>
              <w:rPr>
                <w:b/>
                <w:bCs/>
                <w:color w:val="FFFFFF"/>
                <w:sz w:val="20"/>
                <w:szCs w:val="20"/>
              </w:rPr>
              <w:t xml:space="preserve">Pixels</w:t>
            </w:r>
          </w:p>
        </w:tc>
      </w:tr>
      <w:tr>
        <w:tc>
          <w:tcPr>
            <w:tcW w:type="dxa" w:w="3000"/>
            <w:tcMar>
              <w:top w:type="dxa" w:w="60"/>
              <w:left w:type="dxa" w:w="100"/>
              <w:bottom w:type="dxa" w:w="60"/>
              <w:right w:type="dxa" w:w="100"/>
            </w:tcMar>
          </w:tcPr>
          <w:p>
            <w:r>
              <w:rPr>
                <w:b w:val="false"/>
                <w:bCs w:val="false"/>
                <w:color w:val="000000"/>
                <w:sz w:val="20"/>
                <w:szCs w:val="20"/>
              </w:rPr>
              <w:t xml:space="preserve">A</w:t>
            </w:r>
          </w:p>
        </w:tc>
        <w:tc>
          <w:tcPr>
            <w:tcW w:type="dxa" w:w="3000"/>
            <w:tcMar>
              <w:top w:type="dxa" w:w="60"/>
              <w:left w:type="dxa" w:w="100"/>
              <w:bottom w:type="dxa" w:w="60"/>
              <w:right w:type="dxa" w:w="100"/>
            </w:tcMar>
          </w:tcPr>
          <w:p>
            <w:r>
              <w:rPr>
                <w:b w:val="false"/>
                <w:bCs w:val="false"/>
                <w:color w:val="000000"/>
                <w:sz w:val="20"/>
                <w:szCs w:val="20"/>
              </w:rPr>
              <w:t xml:space="preserve">Sol ferme/stable périphérique</w:t>
            </w:r>
          </w:p>
        </w:tc>
        <w:tc>
          <w:tcPr>
            <w:tcW w:type="dxa" w:w="3000"/>
            <w:tcMar>
              <w:top w:type="dxa" w:w="60"/>
              <w:left w:type="dxa" w:w="100"/>
              <w:bottom w:type="dxa" w:w="60"/>
              <w:right w:type="dxa" w:w="100"/>
            </w:tcMar>
          </w:tcPr>
          <w:p>
            <w:r>
              <w:rPr>
                <w:b w:val="false"/>
                <w:bCs w:val="false"/>
                <w:color w:val="000000"/>
                <w:sz w:val="20"/>
                <w:szCs w:val="20"/>
              </w:rPr>
              <w:t xml:space="preserve">6 712</w:t>
            </w:r>
          </w:p>
        </w:tc>
      </w:tr>
      <w:tr>
        <w:tc>
          <w:tcPr>
            <w:tcW w:type="dxa" w:w="3000"/>
            <w:tcMar>
              <w:top w:type="dxa" w:w="60"/>
              <w:left w:type="dxa" w:w="100"/>
              <w:bottom w:type="dxa" w:w="60"/>
              <w:right w:type="dxa" w:w="100"/>
            </w:tcMar>
          </w:tcPr>
          <w:p>
            <w:r>
              <w:rPr>
                <w:b w:val="false"/>
                <w:bCs w:val="false"/>
                <w:color w:val="000000"/>
                <w:sz w:val="20"/>
                <w:szCs w:val="20"/>
              </w:rPr>
              <w:t xml:space="preserve">B</w:t>
            </w:r>
          </w:p>
        </w:tc>
        <w:tc>
          <w:tcPr>
            <w:tcW w:type="dxa" w:w="3000"/>
            <w:tcMar>
              <w:top w:type="dxa" w:w="60"/>
              <w:left w:type="dxa" w:w="100"/>
              <w:bottom w:type="dxa" w:w="60"/>
              <w:right w:type="dxa" w:w="100"/>
            </w:tcMar>
          </w:tcPr>
          <w:p>
            <w:r>
              <w:rPr>
                <w:b w:val="false"/>
                <w:bCs w:val="false"/>
                <w:color w:val="000000"/>
                <w:sz w:val="20"/>
                <w:szCs w:val="20"/>
              </w:rPr>
              <w:t xml:space="preserve">Végétation stable</w:t>
            </w:r>
          </w:p>
        </w:tc>
        <w:tc>
          <w:tcPr>
            <w:tcW w:type="dxa" w:w="3000"/>
            <w:tcMar>
              <w:top w:type="dxa" w:w="60"/>
              <w:left w:type="dxa" w:w="100"/>
              <w:bottom w:type="dxa" w:w="60"/>
              <w:right w:type="dxa" w:w="100"/>
            </w:tcMar>
          </w:tcPr>
          <w:p>
            <w:r>
              <w:rPr>
                <w:b w:val="false"/>
                <w:bCs w:val="false"/>
                <w:color w:val="000000"/>
                <w:sz w:val="20"/>
                <w:szCs w:val="20"/>
              </w:rPr>
              <w:t xml:space="preserve">7 217</w:t>
            </w:r>
          </w:p>
        </w:tc>
      </w:tr>
      <w:tr>
        <w:tc>
          <w:tcPr>
            <w:tcW w:type="dxa" w:w="3000"/>
            <w:tcMar>
              <w:top w:type="dxa" w:w="60"/>
              <w:left w:type="dxa" w:w="100"/>
              <w:bottom w:type="dxa" w:w="60"/>
              <w:right w:type="dxa" w:w="100"/>
            </w:tcMar>
          </w:tcPr>
          <w:p>
            <w:r>
              <w:rPr>
                <w:b w:val="false"/>
                <w:bCs w:val="false"/>
                <w:color w:val="000000"/>
                <w:sz w:val="20"/>
                <w:szCs w:val="20"/>
              </w:rPr>
              <w:t xml:space="preserve">C</w:t>
            </w:r>
          </w:p>
        </w:tc>
        <w:tc>
          <w:tcPr>
            <w:tcW w:type="dxa" w:w="3000"/>
            <w:tcMar>
              <w:top w:type="dxa" w:w="60"/>
              <w:left w:type="dxa" w:w="100"/>
              <w:bottom w:type="dxa" w:w="60"/>
              <w:right w:type="dxa" w:w="100"/>
            </w:tcMar>
          </w:tcPr>
          <w:p>
            <w:r>
              <w:rPr>
                <w:b w:val="false"/>
                <w:bCs w:val="false"/>
                <w:color w:val="000000"/>
                <w:sz w:val="20"/>
                <w:szCs w:val="20"/>
              </w:rPr>
              <w:t xml:space="preserve">Cœur de la tourbière</w:t>
            </w:r>
          </w:p>
        </w:tc>
        <w:tc>
          <w:tcPr>
            <w:tcW w:type="dxa" w:w="3000"/>
            <w:tcMar>
              <w:top w:type="dxa" w:w="60"/>
              <w:left w:type="dxa" w:w="100"/>
              <w:bottom w:type="dxa" w:w="60"/>
              <w:right w:type="dxa" w:w="100"/>
            </w:tcMar>
          </w:tcPr>
          <w:p>
            <w:r>
              <w:rPr>
                <w:b w:val="false"/>
                <w:bCs w:val="false"/>
                <w:color w:val="000000"/>
                <w:sz w:val="20"/>
                <w:szCs w:val="20"/>
              </w:rPr>
              <w:t xml:space="preserve">486</w:t>
            </w:r>
          </w:p>
        </w:tc>
      </w:tr>
      <w:tr>
        <w:tc>
          <w:tcPr>
            <w:tcW w:type="dxa" w:w="3000"/>
            <w:tcMar>
              <w:top w:type="dxa" w:w="60"/>
              <w:left w:type="dxa" w:w="100"/>
              <w:bottom w:type="dxa" w:w="60"/>
              <w:right w:type="dxa" w:w="100"/>
            </w:tcMar>
          </w:tcPr>
          <w:p>
            <w:r>
              <w:rPr>
                <w:b w:val="false"/>
                <w:bCs w:val="false"/>
                <w:color w:val="000000"/>
                <w:sz w:val="20"/>
                <w:szCs w:val="20"/>
              </w:rPr>
              <w:t xml:space="preserve">D</w:t>
            </w:r>
          </w:p>
        </w:tc>
        <w:tc>
          <w:tcPr>
            <w:tcW w:type="dxa" w:w="3000"/>
            <w:tcMar>
              <w:top w:type="dxa" w:w="60"/>
              <w:left w:type="dxa" w:w="100"/>
              <w:bottom w:type="dxa" w:w="60"/>
              <w:right w:type="dxa" w:w="100"/>
            </w:tcMar>
          </w:tcPr>
          <w:p>
            <w:r>
              <w:rPr>
                <w:b w:val="false"/>
                <w:bCs w:val="false"/>
                <w:color w:val="000000"/>
                <w:sz w:val="20"/>
                <w:szCs w:val="20"/>
              </w:rPr>
              <w:t xml:space="preserve">Transition temporairement inondée</w:t>
            </w:r>
          </w:p>
        </w:tc>
        <w:tc>
          <w:tcPr>
            <w:tcW w:type="dxa" w:w="3000"/>
            <w:tcMar>
              <w:top w:type="dxa" w:w="60"/>
              <w:left w:type="dxa" w:w="100"/>
              <w:bottom w:type="dxa" w:w="60"/>
              <w:right w:type="dxa" w:w="100"/>
            </w:tcMar>
          </w:tcPr>
          <w:p>
            <w:r>
              <w:rPr>
                <w:b w:val="false"/>
                <w:bCs w:val="false"/>
                <w:color w:val="000000"/>
                <w:sz w:val="20"/>
                <w:szCs w:val="20"/>
              </w:rPr>
              <w:t xml:space="preserve">56</w:t>
            </w:r>
          </w:p>
        </w:tc>
      </w:tr>
      <w:tr>
        <w:tc>
          <w:tcPr>
            <w:tcW w:type="dxa" w:w="3000"/>
            <w:tcMar>
              <w:top w:type="dxa" w:w="60"/>
              <w:left w:type="dxa" w:w="100"/>
              <w:bottom w:type="dxa" w:w="60"/>
              <w:right w:type="dxa" w:w="100"/>
            </w:tcMar>
          </w:tcPr>
          <w:p>
            <w:r>
              <w:rPr>
                <w:b w:val="false"/>
                <w:bCs w:val="false"/>
                <w:color w:val="000000"/>
                <w:sz w:val="20"/>
                <w:szCs w:val="20"/>
              </w:rPr>
              <w:t xml:space="preserve">E</w:t>
            </w:r>
          </w:p>
        </w:tc>
        <w:tc>
          <w:tcPr>
            <w:tcW w:type="dxa" w:w="3000"/>
            <w:tcMar>
              <w:top w:type="dxa" w:w="60"/>
              <w:left w:type="dxa" w:w="100"/>
              <w:bottom w:type="dxa" w:w="60"/>
              <w:right w:type="dxa" w:w="100"/>
            </w:tcMar>
          </w:tcPr>
          <w:p>
            <w:r>
              <w:rPr>
                <w:b w:val="false"/>
                <w:bCs w:val="false"/>
                <w:color w:val="000000"/>
                <w:sz w:val="20"/>
                <w:szCs w:val="20"/>
              </w:rPr>
              <w:t xml:space="preserve">Eau libre permanente (lac)</w:t>
            </w:r>
          </w:p>
        </w:tc>
        <w:tc>
          <w:tcPr>
            <w:tcW w:type="dxa" w:w="3000"/>
            <w:tcMar>
              <w:top w:type="dxa" w:w="60"/>
              <w:left w:type="dxa" w:w="100"/>
              <w:bottom w:type="dxa" w:w="60"/>
              <w:right w:type="dxa" w:w="100"/>
            </w:tcMar>
          </w:tcPr>
          <w:p>
            <w:r>
              <w:rPr>
                <w:b w:val="false"/>
                <w:bCs w:val="false"/>
                <w:color w:val="000000"/>
                <w:sz w:val="20"/>
                <w:szCs w:val="20"/>
              </w:rPr>
              <w:t xml:space="preserve">22</w:t>
            </w:r>
          </w:p>
        </w:tc>
      </w:tr>
    </w:tbl>
    <w:p>
      <w:pPr>
        <w:spacing w:after="120"/>
      </w:pPr>
      <w:r>
        <w:t xml:space="preserve">Pixel de référence retenu : cohérence 0,653, situé en classe A à proximité du site.</w:t>
      </w:r>
    </w:p>
    <w:p>
      <w:pPr>
        <w:pBdr>
          <w:left w:val="single" w:color="2E7D6B" w:sz="12" w:space="8"/>
        </w:pBdr>
        <w:spacing w:after="200" w:before="100"/>
      </w:pPr>
      <w:r>
        <w:rPr>
          <w:i/>
          <w:iCs/>
          <w:color w:val="666666"/>
        </w:rPr>
        <w:t xml:space="preserve">Correction appliquée : les classes C/D/E ont été bornées à l'intérieur de l'AOI (initialement, D et E s'étendaient sur toute la grille croppée de 2 km, incluant des fossés agricoles sans rapport avec la dynamique de la tourbière — D est passé de 648 à 56 pixels après correction).</w:t>
      </w:r>
    </w:p>
    <w:p>
      <w:pPr>
        <w:pStyle w:val="Heading2"/>
        <w:spacing w:after="150" w:before="300"/>
      </w:pPr>
      <w:r>
        <w:t xml:space="preserve">6.2 Phase 7 — Indice de qualité W_i (contribution conceptuelle)</w:t>
      </w:r>
    </w:p>
    <w:p>
      <w:pPr>
        <w:spacing w:after="120"/>
      </w:pPr>
      <w:r>
        <w:t xml:space="preserve">Formule retenue : W_i = cohérence conditionnelle hors-eau × (1 − fraction inondée), corrigeant la double pénalisation de la formule originale du cahier des charges.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F3864" w:val="clear"/>
            <w:tcMar>
              <w:top w:type="dxa" w:w="60"/>
              <w:left w:type="dxa" w:w="100"/>
              <w:bottom w:type="dxa" w:w="60"/>
              <w:right w:type="dxa" w:w="100"/>
            </w:tcMar>
          </w:tcPr>
          <w:p>
            <w:r>
              <w:rPr>
                <w:b/>
                <w:bCs/>
                <w:color w:val="FFFFFF"/>
                <w:sz w:val="20"/>
                <w:szCs w:val="20"/>
              </w:rPr>
              <w:t xml:space="preserve">Classe</w:t>
            </w:r>
          </w:p>
        </w:tc>
        <w:tc>
          <w:tcPr>
            <w:tcW w:type="dxa" w:w="2250"/>
            <w:shd w:fill="1F3864" w:val="clear"/>
            <w:tcMar>
              <w:top w:type="dxa" w:w="60"/>
              <w:left w:type="dxa" w:w="100"/>
              <w:bottom w:type="dxa" w:w="60"/>
              <w:right w:type="dxa" w:w="100"/>
            </w:tcMar>
          </w:tcPr>
          <w:p>
            <w:r>
              <w:rPr>
                <w:b/>
                <w:bCs/>
                <w:color w:val="FFFFFF"/>
                <w:sz w:val="20"/>
                <w:szCs w:val="20"/>
              </w:rPr>
              <w:t xml:space="preserve">Cohérence naïve</w:t>
            </w:r>
          </w:p>
        </w:tc>
        <w:tc>
          <w:tcPr>
            <w:tcW w:type="dxa" w:w="2250"/>
            <w:shd w:fill="1F3864" w:val="clear"/>
            <w:tcMar>
              <w:top w:type="dxa" w:w="60"/>
              <w:left w:type="dxa" w:w="100"/>
              <w:bottom w:type="dxa" w:w="60"/>
              <w:right w:type="dxa" w:w="100"/>
            </w:tcMar>
          </w:tcPr>
          <w:p>
            <w:r>
              <w:rPr>
                <w:b/>
                <w:bCs/>
                <w:color w:val="FFFFFF"/>
                <w:sz w:val="20"/>
                <w:szCs w:val="20"/>
              </w:rPr>
              <w:t xml:space="preserve">Cohérence conditionnelle</w:t>
            </w:r>
          </w:p>
        </w:tc>
        <w:tc>
          <w:tcPr>
            <w:tcW w:type="dxa" w:w="2250"/>
            <w:shd w:fill="1F3864" w:val="clear"/>
            <w:tcMar>
              <w:top w:type="dxa" w:w="60"/>
              <w:left w:type="dxa" w:w="100"/>
              <w:bottom w:type="dxa" w:w="60"/>
              <w:right w:type="dxa" w:w="100"/>
            </w:tcMar>
          </w:tcPr>
          <w:p>
            <w:r>
              <w:rPr>
                <w:b/>
                <w:bCs/>
                <w:color w:val="FFFFFF"/>
                <w:sz w:val="20"/>
                <w:szCs w:val="20"/>
              </w:rPr>
              <w:t xml:space="preserve">Gain</w:t>
            </w:r>
          </w:p>
        </w:tc>
      </w:tr>
      <w:tr>
        <w:tc>
          <w:tcPr>
            <w:tcW w:type="dxa" w:w="2250"/>
            <w:tcMar>
              <w:top w:type="dxa" w:w="60"/>
              <w:left w:type="dxa" w:w="100"/>
              <w:bottom w:type="dxa" w:w="60"/>
              <w:right w:type="dxa" w:w="100"/>
            </w:tcMar>
          </w:tcPr>
          <w:p>
            <w:r>
              <w:rPr>
                <w:b w:val="false"/>
                <w:bCs w:val="false"/>
                <w:color w:val="000000"/>
                <w:sz w:val="20"/>
                <w:szCs w:val="20"/>
              </w:rPr>
              <w:t xml:space="preserve">A</w:t>
            </w:r>
          </w:p>
        </w:tc>
        <w:tc>
          <w:tcPr>
            <w:tcW w:type="dxa" w:w="2250"/>
            <w:tcMar>
              <w:top w:type="dxa" w:w="60"/>
              <w:left w:type="dxa" w:w="100"/>
              <w:bottom w:type="dxa" w:w="60"/>
              <w:right w:type="dxa" w:w="100"/>
            </w:tcMar>
          </w:tcPr>
          <w:p>
            <w:r>
              <w:rPr>
                <w:b w:val="false"/>
                <w:bCs w:val="false"/>
                <w:color w:val="000000"/>
                <w:sz w:val="20"/>
                <w:szCs w:val="20"/>
              </w:rPr>
              <w:t xml:space="preserve">0,526</w:t>
            </w:r>
          </w:p>
        </w:tc>
        <w:tc>
          <w:tcPr>
            <w:tcW w:type="dxa" w:w="2250"/>
            <w:tcMar>
              <w:top w:type="dxa" w:w="60"/>
              <w:left w:type="dxa" w:w="100"/>
              <w:bottom w:type="dxa" w:w="60"/>
              <w:right w:type="dxa" w:w="100"/>
            </w:tcMar>
          </w:tcPr>
          <w:p>
            <w:r>
              <w:rPr>
                <w:b w:val="false"/>
                <w:bCs w:val="false"/>
                <w:color w:val="000000"/>
                <w:sz w:val="20"/>
                <w:szCs w:val="20"/>
              </w:rPr>
              <w:t xml:space="preserve">0,522</w:t>
            </w:r>
          </w:p>
        </w:tc>
        <w:tc>
          <w:tcPr>
            <w:tcW w:type="dxa" w:w="2250"/>
            <w:tcMar>
              <w:top w:type="dxa" w:w="60"/>
              <w:left w:type="dxa" w:w="100"/>
              <w:bottom w:type="dxa" w:w="60"/>
              <w:right w:type="dxa" w:w="100"/>
            </w:tcMar>
          </w:tcPr>
          <w:p>
            <w:r>
              <w:rPr>
                <w:b w:val="false"/>
                <w:bCs w:val="false"/>
                <w:color w:val="000000"/>
                <w:sz w:val="20"/>
                <w:szCs w:val="20"/>
              </w:rPr>
              <w:t xml:space="preserve">-0,7 %</w:t>
            </w:r>
          </w:p>
        </w:tc>
      </w:tr>
      <w:tr>
        <w:tc>
          <w:tcPr>
            <w:tcW w:type="dxa" w:w="2250"/>
            <w:tcMar>
              <w:top w:type="dxa" w:w="60"/>
              <w:left w:type="dxa" w:w="100"/>
              <w:bottom w:type="dxa" w:w="60"/>
              <w:right w:type="dxa" w:w="100"/>
            </w:tcMar>
          </w:tcPr>
          <w:p>
            <w:r>
              <w:rPr>
                <w:b w:val="false"/>
                <w:bCs w:val="false"/>
                <w:color w:val="000000"/>
                <w:sz w:val="20"/>
                <w:szCs w:val="20"/>
              </w:rPr>
              <w:t xml:space="preserve">B</w:t>
            </w:r>
          </w:p>
        </w:tc>
        <w:tc>
          <w:tcPr>
            <w:tcW w:type="dxa" w:w="2250"/>
            <w:tcMar>
              <w:top w:type="dxa" w:w="60"/>
              <w:left w:type="dxa" w:w="100"/>
              <w:bottom w:type="dxa" w:w="60"/>
              <w:right w:type="dxa" w:w="100"/>
            </w:tcMar>
          </w:tcPr>
          <w:p>
            <w:r>
              <w:rPr>
                <w:b w:val="false"/>
                <w:bCs w:val="false"/>
                <w:color w:val="000000"/>
                <w:sz w:val="20"/>
                <w:szCs w:val="20"/>
              </w:rPr>
              <w:t xml:space="preserve">0,413</w:t>
            </w:r>
          </w:p>
        </w:tc>
        <w:tc>
          <w:tcPr>
            <w:tcW w:type="dxa" w:w="2250"/>
            <w:tcMar>
              <w:top w:type="dxa" w:w="60"/>
              <w:left w:type="dxa" w:w="100"/>
              <w:bottom w:type="dxa" w:w="60"/>
              <w:right w:type="dxa" w:w="100"/>
            </w:tcMar>
          </w:tcPr>
          <w:p>
            <w:r>
              <w:rPr>
                <w:b w:val="false"/>
                <w:bCs w:val="false"/>
                <w:color w:val="000000"/>
                <w:sz w:val="20"/>
                <w:szCs w:val="20"/>
              </w:rPr>
              <w:t xml:space="preserve">0,413</w:t>
            </w:r>
          </w:p>
        </w:tc>
        <w:tc>
          <w:tcPr>
            <w:tcW w:type="dxa" w:w="2250"/>
            <w:tcMar>
              <w:top w:type="dxa" w:w="60"/>
              <w:left w:type="dxa" w:w="100"/>
              <w:bottom w:type="dxa" w:w="60"/>
              <w:right w:type="dxa" w:w="100"/>
            </w:tcMar>
          </w:tcPr>
          <w:p>
            <w:r>
              <w:rPr>
                <w:b w:val="false"/>
                <w:bCs w:val="false"/>
                <w:color w:val="000000"/>
                <w:sz w:val="20"/>
                <w:szCs w:val="20"/>
              </w:rPr>
              <w:t xml:space="preserve">+0,1 %</w:t>
            </w:r>
          </w:p>
        </w:tc>
      </w:tr>
      <w:tr>
        <w:tc>
          <w:tcPr>
            <w:tcW w:type="dxa" w:w="2250"/>
            <w:tcMar>
              <w:top w:type="dxa" w:w="60"/>
              <w:left w:type="dxa" w:w="100"/>
              <w:bottom w:type="dxa" w:w="60"/>
              <w:right w:type="dxa" w:w="100"/>
            </w:tcMar>
          </w:tcPr>
          <w:p>
            <w:r>
              <w:rPr>
                <w:b w:val="false"/>
                <w:bCs w:val="false"/>
                <w:color w:val="000000"/>
                <w:sz w:val="20"/>
                <w:szCs w:val="20"/>
              </w:rPr>
              <w:t xml:space="preserve">C (cœur)</w:t>
            </w:r>
          </w:p>
        </w:tc>
        <w:tc>
          <w:tcPr>
            <w:tcW w:type="dxa" w:w="2250"/>
            <w:tcMar>
              <w:top w:type="dxa" w:w="60"/>
              <w:left w:type="dxa" w:w="100"/>
              <w:bottom w:type="dxa" w:w="60"/>
              <w:right w:type="dxa" w:w="100"/>
            </w:tcMar>
          </w:tcPr>
          <w:p>
            <w:r>
              <w:rPr>
                <w:b w:val="false"/>
                <w:bCs w:val="false"/>
                <w:color w:val="000000"/>
                <w:sz w:val="20"/>
                <w:szCs w:val="20"/>
              </w:rPr>
              <w:t xml:space="preserve">0,413</w:t>
            </w:r>
          </w:p>
        </w:tc>
        <w:tc>
          <w:tcPr>
            <w:tcW w:type="dxa" w:w="2250"/>
            <w:tcMar>
              <w:top w:type="dxa" w:w="60"/>
              <w:left w:type="dxa" w:w="100"/>
              <w:bottom w:type="dxa" w:w="60"/>
              <w:right w:type="dxa" w:w="100"/>
            </w:tcMar>
          </w:tcPr>
          <w:p>
            <w:r>
              <w:rPr>
                <w:b w:val="false"/>
                <w:bCs w:val="false"/>
                <w:color w:val="000000"/>
                <w:sz w:val="20"/>
                <w:szCs w:val="20"/>
              </w:rPr>
              <w:t xml:space="preserve">0,415</w:t>
            </w:r>
          </w:p>
        </w:tc>
        <w:tc>
          <w:tcPr>
            <w:tcW w:type="dxa" w:w="2250"/>
            <w:tcMar>
              <w:top w:type="dxa" w:w="60"/>
              <w:left w:type="dxa" w:w="100"/>
              <w:bottom w:type="dxa" w:w="60"/>
              <w:right w:type="dxa" w:w="100"/>
            </w:tcMar>
          </w:tcPr>
          <w:p>
            <w:r>
              <w:rPr>
                <w:b w:val="false"/>
                <w:bCs w:val="false"/>
                <w:color w:val="000000"/>
                <w:sz w:val="20"/>
                <w:szCs w:val="20"/>
              </w:rPr>
              <w:t xml:space="preserve">+0,4 %</w:t>
            </w:r>
          </w:p>
        </w:tc>
      </w:tr>
      <w:tr>
        <w:tc>
          <w:tcPr>
            <w:tcW w:type="dxa" w:w="2250"/>
            <w:tcMar>
              <w:top w:type="dxa" w:w="60"/>
              <w:left w:type="dxa" w:w="100"/>
              <w:bottom w:type="dxa" w:w="60"/>
              <w:right w:type="dxa" w:w="100"/>
            </w:tcMar>
          </w:tcPr>
          <w:p>
            <w:r>
              <w:rPr>
                <w:b w:val="false"/>
                <w:bCs w:val="false"/>
                <w:color w:val="000000"/>
                <w:sz w:val="20"/>
                <w:szCs w:val="20"/>
              </w:rPr>
              <w:t xml:space="preserve">D (transition)</w:t>
            </w:r>
          </w:p>
        </w:tc>
        <w:tc>
          <w:tcPr>
            <w:tcW w:type="dxa" w:w="2250"/>
            <w:tcMar>
              <w:top w:type="dxa" w:w="60"/>
              <w:left w:type="dxa" w:w="100"/>
              <w:bottom w:type="dxa" w:w="60"/>
              <w:right w:type="dxa" w:w="100"/>
            </w:tcMar>
          </w:tcPr>
          <w:p>
            <w:r>
              <w:rPr>
                <w:b w:val="false"/>
                <w:bCs w:val="false"/>
                <w:color w:val="000000"/>
                <w:sz w:val="20"/>
                <w:szCs w:val="20"/>
              </w:rPr>
              <w:t xml:space="preserve">0,398</w:t>
            </w:r>
          </w:p>
        </w:tc>
        <w:tc>
          <w:tcPr>
            <w:tcW w:type="dxa" w:w="2250"/>
            <w:tcMar>
              <w:top w:type="dxa" w:w="60"/>
              <w:left w:type="dxa" w:w="100"/>
              <w:bottom w:type="dxa" w:w="60"/>
              <w:right w:type="dxa" w:w="100"/>
            </w:tcMar>
          </w:tcPr>
          <w:p>
            <w:r>
              <w:rPr>
                <w:b w:val="false"/>
                <w:bCs w:val="false"/>
                <w:color w:val="000000"/>
                <w:sz w:val="20"/>
                <w:szCs w:val="20"/>
              </w:rPr>
              <w:t xml:space="preserve">0,436</w:t>
            </w:r>
          </w:p>
        </w:tc>
        <w:tc>
          <w:tcPr>
            <w:tcW w:type="dxa" w:w="2250"/>
            <w:tcMar>
              <w:top w:type="dxa" w:w="60"/>
              <w:left w:type="dxa" w:w="100"/>
              <w:bottom w:type="dxa" w:w="60"/>
              <w:right w:type="dxa" w:w="100"/>
            </w:tcMar>
          </w:tcPr>
          <w:p>
            <w:r>
              <w:rPr>
                <w:b w:val="false"/>
                <w:bCs w:val="false"/>
                <w:color w:val="000000"/>
                <w:sz w:val="20"/>
                <w:szCs w:val="20"/>
              </w:rPr>
              <w:t xml:space="preserve">+9,6 %</w:t>
            </w:r>
          </w:p>
        </w:tc>
      </w:tr>
      <w:tr>
        <w:tc>
          <w:tcPr>
            <w:tcW w:type="dxa" w:w="2250"/>
            <w:tcMar>
              <w:top w:type="dxa" w:w="60"/>
              <w:left w:type="dxa" w:w="100"/>
              <w:bottom w:type="dxa" w:w="60"/>
              <w:right w:type="dxa" w:w="100"/>
            </w:tcMar>
          </w:tcPr>
          <w:p>
            <w:r>
              <w:rPr>
                <w:b w:val="false"/>
                <w:bCs w:val="false"/>
                <w:color w:val="000000"/>
                <w:sz w:val="20"/>
                <w:szCs w:val="20"/>
              </w:rPr>
              <w:t xml:space="preserve">E (eau)</w:t>
            </w:r>
          </w:p>
        </w:tc>
        <w:tc>
          <w:tcPr>
            <w:tcW w:type="dxa" w:w="2250"/>
            <w:tcMar>
              <w:top w:type="dxa" w:w="60"/>
              <w:left w:type="dxa" w:w="100"/>
              <w:bottom w:type="dxa" w:w="60"/>
              <w:right w:type="dxa" w:w="100"/>
            </w:tcMar>
          </w:tcPr>
          <w:p>
            <w:r>
              <w:rPr>
                <w:b w:val="false"/>
                <w:bCs w:val="false"/>
                <w:color w:val="000000"/>
                <w:sz w:val="20"/>
                <w:szCs w:val="20"/>
              </w:rPr>
              <w:t xml:space="preserve">0,392</w:t>
            </w:r>
          </w:p>
        </w:tc>
        <w:tc>
          <w:tcPr>
            <w:tcW w:type="dxa" w:w="2250"/>
            <w:tcMar>
              <w:top w:type="dxa" w:w="60"/>
              <w:left w:type="dxa" w:w="100"/>
              <w:bottom w:type="dxa" w:w="60"/>
              <w:right w:type="dxa" w:w="100"/>
            </w:tcMar>
          </w:tcPr>
          <w:p>
            <w:r>
              <w:rPr>
                <w:b w:val="false"/>
                <w:bCs w:val="false"/>
                <w:color w:val="000000"/>
                <w:sz w:val="20"/>
                <w:szCs w:val="20"/>
              </w:rPr>
              <w:t xml:space="preserve">0,509</w:t>
            </w:r>
          </w:p>
        </w:tc>
        <w:tc>
          <w:tcPr>
            <w:tcW w:type="dxa" w:w="2250"/>
            <w:tcMar>
              <w:top w:type="dxa" w:w="60"/>
              <w:left w:type="dxa" w:w="100"/>
              <w:bottom w:type="dxa" w:w="60"/>
              <w:right w:type="dxa" w:w="100"/>
            </w:tcMar>
          </w:tcPr>
          <w:p>
            <w:r>
              <w:rPr>
                <w:b w:val="false"/>
                <w:bCs w:val="false"/>
                <w:color w:val="000000"/>
                <w:sz w:val="20"/>
                <w:szCs w:val="20"/>
              </w:rPr>
              <w:t xml:space="preserve">+29,7 %</w:t>
            </w:r>
          </w:p>
        </w:tc>
      </w:tr>
    </w:tbl>
    <w:p>
      <w:pPr>
        <w:spacing w:after="120"/>
      </w:pPr>
      <w:r>
        <w:t xml:space="preserve">Interprétation : le gain de la pondération conditionnelle est concentré sur la classe D (transition) — le cœur (C) ne bénéficie que marginalement de la pondération car il est rarement inondé par définition. C'est l'ISBAS (approche par nombre minimal de paires, Phase 9), et non la pondération, qui doit récupérer le cœur. Ces deux mécanismes ciblent des zones différentes — argument méthodologique central de la thèse.</w:t>
      </w:r>
    </w:p>
    <w:p>
      <w:pPr>
        <w:pStyle w:val="Heading1"/>
        <w:spacing w:after="200" w:before="400"/>
      </w:pPr>
      <w:r>
        <w:t xml:space="preserve">7. Phase 8 — Inversion SBAS classique (MintPy)</w:t>
      </w:r>
    </w:p>
    <w:p>
      <w:pPr>
        <w:spacing w:after="120"/>
      </w:pPr>
      <w:r>
        <w:t xml:space="preserve">Cette phase a été la plus longue et la plus instructive du projet : 8 blocages successifs, chacun diagnostiqué et corrigé ou documenté comme limitation réelle.</w:t>
      </w:r>
    </w:p>
    <w:p>
      <w:pPr>
        <w:pStyle w:val="Heading2"/>
        <w:spacing w:after="150" w:before="300"/>
      </w:pPr>
      <w:r>
        <w:t xml:space="preserve">7.1 Chronologie des blocages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F3864" w:val="clear"/>
            <w:tcMar>
              <w:top w:type="dxa" w:w="60"/>
              <w:left w:type="dxa" w:w="100"/>
              <w:bottom w:type="dxa" w:w="60"/>
              <w:right w:type="dxa" w:w="100"/>
            </w:tcMar>
          </w:tcPr>
          <w:p>
            <w:r>
              <w:rPr>
                <w:b/>
                <w:bCs/>
                <w:color w:val="FFFFFF"/>
                <w:sz w:val="20"/>
                <w:szCs w:val="20"/>
              </w:rPr>
              <w:t xml:space="preserve">#</w:t>
            </w:r>
          </w:p>
        </w:tc>
        <w:tc>
          <w:tcPr>
            <w:tcW w:type="dxa" w:w="2250"/>
            <w:shd w:fill="1F3864" w:val="clear"/>
            <w:tcMar>
              <w:top w:type="dxa" w:w="60"/>
              <w:left w:type="dxa" w:w="100"/>
              <w:bottom w:type="dxa" w:w="60"/>
              <w:right w:type="dxa" w:w="100"/>
            </w:tcMar>
          </w:tcPr>
          <w:p>
            <w:r>
              <w:rPr>
                <w:b/>
                <w:bCs/>
                <w:color w:val="FFFFFF"/>
                <w:sz w:val="20"/>
                <w:szCs w:val="20"/>
              </w:rPr>
              <w:t xml:space="preserve">Symptôme</w:t>
            </w:r>
          </w:p>
        </w:tc>
        <w:tc>
          <w:tcPr>
            <w:tcW w:type="dxa" w:w="2250"/>
            <w:shd w:fill="1F3864" w:val="clear"/>
            <w:tcMar>
              <w:top w:type="dxa" w:w="60"/>
              <w:left w:type="dxa" w:w="100"/>
              <w:bottom w:type="dxa" w:w="60"/>
              <w:right w:type="dxa" w:w="100"/>
            </w:tcMar>
          </w:tcPr>
          <w:p>
            <w:r>
              <w:rPr>
                <w:b/>
                <w:bCs/>
                <w:color w:val="FFFFFF"/>
                <w:sz w:val="20"/>
                <w:szCs w:val="20"/>
              </w:rPr>
              <w:t xml:space="preserve">Nature</w:t>
            </w:r>
          </w:p>
        </w:tc>
        <w:tc>
          <w:tcPr>
            <w:tcW w:type="dxa" w:w="2250"/>
            <w:shd w:fill="1F3864" w:val="clear"/>
            <w:tcMar>
              <w:top w:type="dxa" w:w="60"/>
              <w:left w:type="dxa" w:w="100"/>
              <w:bottom w:type="dxa" w:w="60"/>
              <w:right w:type="dxa" w:w="100"/>
            </w:tcMar>
          </w:tcPr>
          <w:p>
            <w:r>
              <w:rPr>
                <w:b/>
                <w:bCs/>
                <w:color w:val="FFFFFF"/>
                <w:sz w:val="20"/>
                <w:szCs w:val="20"/>
              </w:rPr>
              <w:t xml:space="preserve">Résolution</w:t>
            </w:r>
          </w:p>
        </w:tc>
      </w:tr>
      <w:tr>
        <w:tc>
          <w:tcPr>
            <w:tcW w:type="dxa" w:w="2250"/>
            <w:tcMar>
              <w:top w:type="dxa" w:w="60"/>
              <w:left w:type="dxa" w:w="100"/>
              <w:bottom w:type="dxa" w:w="60"/>
              <w:right w:type="dxa" w:w="100"/>
            </w:tcMar>
          </w:tcPr>
          <w:p>
            <w:r>
              <w:rPr>
                <w:b w:val="false"/>
                <w:bCs w:val="false"/>
                <w:color w:val="000000"/>
                <w:sz w:val="20"/>
                <w:szCs w:val="20"/>
              </w:rPr>
              <w:t xml:space="preserve">1</w:t>
            </w:r>
          </w:p>
        </w:tc>
        <w:tc>
          <w:tcPr>
            <w:tcW w:type="dxa" w:w="2250"/>
            <w:tcMar>
              <w:top w:type="dxa" w:w="60"/>
              <w:left w:type="dxa" w:w="100"/>
              <w:bottom w:type="dxa" w:w="60"/>
              <w:right w:type="dxa" w:w="100"/>
            </w:tcMar>
          </w:tcPr>
          <w:p>
            <w:r>
              <w:rPr>
                <w:b w:val="false"/>
                <w:bCs w:val="false"/>
                <w:color w:val="000000"/>
                <w:sz w:val="20"/>
                <w:szCs w:val="20"/>
              </w:rPr>
              <w:t xml:space="preserve">KeyError connectComponent</w:t>
            </w:r>
          </w:p>
        </w:tc>
        <w:tc>
          <w:tcPr>
            <w:tcW w:type="dxa" w:w="2250"/>
            <w:tcMar>
              <w:top w:type="dxa" w:w="60"/>
              <w:left w:type="dxa" w:w="100"/>
              <w:bottom w:type="dxa" w:w="60"/>
              <w:right w:type="dxa" w:w="100"/>
            </w:tcMar>
          </w:tcPr>
          <w:p>
            <w:r>
              <w:rPr>
                <w:b w:val="false"/>
                <w:bCs w:val="false"/>
                <w:color w:val="000000"/>
                <w:sz w:val="20"/>
                <w:szCs w:val="20"/>
              </w:rPr>
              <w:t xml:space="preserve">Faute de code (nommage _conn_comp vs _conncomp)</w:t>
            </w:r>
          </w:p>
        </w:tc>
        <w:tc>
          <w:tcPr>
            <w:tcW w:type="dxa" w:w="2250"/>
            <w:tcMar>
              <w:top w:type="dxa" w:w="60"/>
              <w:left w:type="dxa" w:w="100"/>
              <w:bottom w:type="dxa" w:w="60"/>
              <w:right w:type="dxa" w:w="100"/>
            </w:tcMar>
          </w:tcPr>
          <w:p>
            <w:r>
              <w:rPr>
                <w:b w:val="false"/>
                <w:bCs w:val="false"/>
                <w:color w:val="000000"/>
                <w:sz w:val="20"/>
                <w:szCs w:val="20"/>
              </w:rPr>
              <w:t xml:space="preserve">Corrigé, données récupérées</w:t>
            </w:r>
          </w:p>
        </w:tc>
      </w:tr>
      <w:tr>
        <w:tc>
          <w:tcPr>
            <w:tcW w:type="dxa" w:w="2250"/>
            <w:tcMar>
              <w:top w:type="dxa" w:w="60"/>
              <w:left w:type="dxa" w:w="100"/>
              <w:bottom w:type="dxa" w:w="60"/>
              <w:right w:type="dxa" w:w="100"/>
            </w:tcMar>
          </w:tcPr>
          <w:p>
            <w:r>
              <w:rPr>
                <w:b w:val="false"/>
                <w:bCs w:val="false"/>
                <w:color w:val="000000"/>
                <w:sz w:val="20"/>
                <w:szCs w:val="20"/>
              </w:rPr>
              <w:t xml:space="preserve">2</w:t>
            </w:r>
          </w:p>
        </w:tc>
        <w:tc>
          <w:tcPr>
            <w:tcW w:type="dxa" w:w="2250"/>
            <w:tcMar>
              <w:top w:type="dxa" w:w="60"/>
              <w:left w:type="dxa" w:w="100"/>
              <w:bottom w:type="dxa" w:w="60"/>
              <w:right w:type="dxa" w:w="100"/>
            </w:tcMar>
          </w:tcPr>
          <w:p>
            <w:r>
              <w:rPr>
                <w:b w:val="false"/>
                <w:bCs w:val="false"/>
                <w:color w:val="000000"/>
                <w:sz w:val="20"/>
                <w:szCs w:val="20"/>
              </w:rPr>
              <w:t xml:space="preserve">Référence hors composante connexe</w:t>
            </w:r>
          </w:p>
        </w:tc>
        <w:tc>
          <w:tcPr>
            <w:tcW w:type="dxa" w:w="2250"/>
            <w:tcMar>
              <w:top w:type="dxa" w:w="60"/>
              <w:left w:type="dxa" w:w="100"/>
              <w:bottom w:type="dxa" w:w="60"/>
              <w:right w:type="dxa" w:w="100"/>
            </w:tcMar>
          </w:tcPr>
          <w:p>
            <w:r>
              <w:rPr>
                <w:b w:val="false"/>
                <w:bCs w:val="false"/>
                <w:color w:val="000000"/>
                <w:sz w:val="20"/>
                <w:szCs w:val="20"/>
              </w:rPr>
              <w:t xml:space="preserve">Config incomplète</w:t>
            </w:r>
          </w:p>
        </w:tc>
        <w:tc>
          <w:tcPr>
            <w:tcW w:type="dxa" w:w="2250"/>
            <w:tcMar>
              <w:top w:type="dxa" w:w="60"/>
              <w:left w:type="dxa" w:w="100"/>
              <w:bottom w:type="dxa" w:w="60"/>
              <w:right w:type="dxa" w:w="100"/>
            </w:tcMar>
          </w:tcPr>
          <w:p>
            <w:r>
              <w:rPr>
                <w:b w:val="false"/>
                <w:bCs w:val="false"/>
                <w:color w:val="000000"/>
                <w:sz w:val="20"/>
                <w:szCs w:val="20"/>
              </w:rPr>
              <w:t xml:space="preserve">Sélection automatique de référence</w:t>
            </w:r>
          </w:p>
        </w:tc>
      </w:tr>
      <w:tr>
        <w:tc>
          <w:tcPr>
            <w:tcW w:type="dxa" w:w="2250"/>
            <w:tcMar>
              <w:top w:type="dxa" w:w="60"/>
              <w:left w:type="dxa" w:w="100"/>
              <w:bottom w:type="dxa" w:w="60"/>
              <w:right w:type="dxa" w:w="100"/>
            </w:tcMar>
          </w:tcPr>
          <w:p>
            <w:r>
              <w:rPr>
                <w:b w:val="false"/>
                <w:bCs w:val="false"/>
                <w:color w:val="000000"/>
                <w:sz w:val="20"/>
                <w:szCs w:val="20"/>
              </w:rPr>
              <w:t xml:space="preserve">3</w:t>
            </w:r>
          </w:p>
        </w:tc>
        <w:tc>
          <w:tcPr>
            <w:tcW w:type="dxa" w:w="2250"/>
            <w:tcMar>
              <w:top w:type="dxa" w:w="60"/>
              <w:left w:type="dxa" w:w="100"/>
              <w:bottom w:type="dxa" w:w="60"/>
              <w:right w:type="dxa" w:w="100"/>
            </w:tcMar>
          </w:tcPr>
          <w:p>
            <w:r>
              <w:rPr>
                <w:b w:val="false"/>
                <w:bCs w:val="false"/>
                <w:color w:val="000000"/>
                <w:sz w:val="20"/>
                <w:szCs w:val="20"/>
              </w:rPr>
              <w:t xml:space="preserve">Option MintPy inventée (coherenceBased)</w:t>
            </w:r>
          </w:p>
        </w:tc>
        <w:tc>
          <w:tcPr>
            <w:tcW w:type="dxa" w:w="2250"/>
            <w:tcMar>
              <w:top w:type="dxa" w:w="60"/>
              <w:left w:type="dxa" w:w="100"/>
              <w:bottom w:type="dxa" w:w="60"/>
              <w:right w:type="dxa" w:w="100"/>
            </w:tcMar>
          </w:tcPr>
          <w:p>
            <w:r>
              <w:rPr>
                <w:b w:val="false"/>
                <w:bCs w:val="false"/>
                <w:color w:val="000000"/>
                <w:sz w:val="20"/>
                <w:szCs w:val="20"/>
              </w:rPr>
              <w:t xml:space="preserve">Faute de code (hallucination d'API)</w:t>
            </w:r>
          </w:p>
        </w:tc>
        <w:tc>
          <w:tcPr>
            <w:tcW w:type="dxa" w:w="2250"/>
            <w:tcMar>
              <w:top w:type="dxa" w:w="60"/>
              <w:left w:type="dxa" w:w="100"/>
              <w:bottom w:type="dxa" w:w="60"/>
              <w:right w:type="dxa" w:w="100"/>
            </w:tcMar>
          </w:tcPr>
          <w:p>
            <w:r>
              <w:rPr>
                <w:b w:val="false"/>
                <w:bCs w:val="false"/>
                <w:color w:val="000000"/>
                <w:sz w:val="20"/>
                <w:szCs w:val="20"/>
              </w:rPr>
              <w:t xml:space="preserve">Corrigé contre la documentation officielle</w:t>
            </w:r>
          </w:p>
        </w:tc>
      </w:tr>
      <w:tr>
        <w:tc>
          <w:tcPr>
            <w:tcW w:type="dxa" w:w="2250"/>
            <w:tcMar>
              <w:top w:type="dxa" w:w="60"/>
              <w:left w:type="dxa" w:w="100"/>
              <w:bottom w:type="dxa" w:w="60"/>
              <w:right w:type="dxa" w:w="100"/>
            </w:tcMar>
          </w:tcPr>
          <w:p>
            <w:r>
              <w:rPr>
                <w:b w:val="false"/>
                <w:bCs w:val="false"/>
                <w:color w:val="000000"/>
                <w:sz w:val="20"/>
                <w:szCs w:val="20"/>
              </w:rPr>
              <w:t xml:space="preserve">4</w:t>
            </w:r>
          </w:p>
        </w:tc>
        <w:tc>
          <w:tcPr>
            <w:tcW w:type="dxa" w:w="2250"/>
            <w:tcMar>
              <w:top w:type="dxa" w:w="60"/>
              <w:left w:type="dxa" w:w="100"/>
              <w:bottom w:type="dxa" w:w="60"/>
              <w:right w:type="dxa" w:w="100"/>
            </w:tcMar>
          </w:tcPr>
          <w:p>
            <w:r>
              <w:rPr>
                <w:b w:val="false"/>
                <w:bCs w:val="false"/>
                <w:color w:val="000000"/>
                <w:sz w:val="20"/>
                <w:szCs w:val="20"/>
              </w:rPr>
              <w:t xml:space="preserve">Seuil de cohérence 0,85 inatteignable</w:t>
            </w:r>
          </w:p>
        </w:tc>
        <w:tc>
          <w:tcPr>
            <w:tcW w:type="dxa" w:w="2250"/>
            <w:tcMar>
              <w:top w:type="dxa" w:w="60"/>
              <w:left w:type="dxa" w:w="100"/>
              <w:bottom w:type="dxa" w:w="60"/>
              <w:right w:type="dxa" w:w="100"/>
            </w:tcMar>
          </w:tcPr>
          <w:p>
            <w:r>
              <w:rPr>
                <w:b w:val="false"/>
                <w:bCs w:val="false"/>
                <w:color w:val="000000"/>
                <w:sz w:val="20"/>
                <w:szCs w:val="20"/>
              </w:rPr>
              <w:t xml:space="preserve">Défaut MintPy inadapté au terrain</w:t>
            </w:r>
          </w:p>
        </w:tc>
        <w:tc>
          <w:tcPr>
            <w:tcW w:type="dxa" w:w="2250"/>
            <w:tcMar>
              <w:top w:type="dxa" w:w="60"/>
              <w:left w:type="dxa" w:w="100"/>
              <w:bottom w:type="dxa" w:w="60"/>
              <w:right w:type="dxa" w:w="100"/>
            </w:tcMar>
          </w:tcPr>
          <w:p>
            <w:r>
              <w:rPr>
                <w:b w:val="false"/>
                <w:bCs w:val="false"/>
                <w:color w:val="000000"/>
                <w:sz w:val="20"/>
                <w:szCs w:val="20"/>
              </w:rPr>
              <w:t xml:space="preserve">Référence déterministe calculée depuis les données</w:t>
            </w:r>
          </w:p>
        </w:tc>
      </w:tr>
      <w:tr>
        <w:tc>
          <w:tcPr>
            <w:tcW w:type="dxa" w:w="2250"/>
            <w:tcMar>
              <w:top w:type="dxa" w:w="60"/>
              <w:left w:type="dxa" w:w="100"/>
              <w:bottom w:type="dxa" w:w="60"/>
              <w:right w:type="dxa" w:w="100"/>
            </w:tcMar>
          </w:tcPr>
          <w:p>
            <w:r>
              <w:rPr>
                <w:b w:val="false"/>
                <w:bCs w:val="false"/>
                <w:color w:val="000000"/>
                <w:sz w:val="20"/>
                <w:szCs w:val="20"/>
              </w:rPr>
              <w:t xml:space="preserve">5</w:t>
            </w:r>
          </w:p>
        </w:tc>
        <w:tc>
          <w:tcPr>
            <w:tcW w:type="dxa" w:w="2250"/>
            <w:tcMar>
              <w:top w:type="dxa" w:w="60"/>
              <w:left w:type="dxa" w:w="100"/>
              <w:bottom w:type="dxa" w:w="60"/>
              <w:right w:type="dxa" w:w="100"/>
            </w:tcMar>
          </w:tcPr>
          <w:p>
            <w:r>
              <w:rPr>
                <w:b w:val="false"/>
                <w:bCs w:val="false"/>
                <w:color w:val="000000"/>
                <w:sz w:val="20"/>
                <w:szCs w:val="20"/>
              </w:rPr>
              <w:t xml:space="preserve">maskConnComp.h5 lu comme vide</w:t>
            </w:r>
          </w:p>
        </w:tc>
        <w:tc>
          <w:tcPr>
            <w:tcW w:type="dxa" w:w="2250"/>
            <w:tcMar>
              <w:top w:type="dxa" w:w="60"/>
              <w:left w:type="dxa" w:w="100"/>
              <w:bottom w:type="dxa" w:w="60"/>
              <w:right w:type="dxa" w:w="100"/>
            </w:tcMar>
          </w:tcPr>
          <w:p>
            <w:r>
              <w:rPr>
                <w:b w:val="false"/>
                <w:bCs w:val="false"/>
                <w:color w:val="000000"/>
                <w:sz w:val="20"/>
                <w:szCs w:val="20"/>
              </w:rPr>
              <w:t xml:space="preserve">Faute de code (convention non vérifiée)</w:t>
            </w:r>
          </w:p>
        </w:tc>
        <w:tc>
          <w:tcPr>
            <w:tcW w:type="dxa" w:w="2250"/>
            <w:tcMar>
              <w:top w:type="dxa" w:w="60"/>
              <w:left w:type="dxa" w:w="100"/>
              <w:bottom w:type="dxa" w:w="60"/>
              <w:right w:type="dxa" w:w="100"/>
            </w:tcMar>
          </w:tcPr>
          <w:p>
            <w:r>
              <w:rPr>
                <w:b w:val="false"/>
                <w:bCs w:val="false"/>
                <w:color w:val="000000"/>
                <w:sz w:val="20"/>
                <w:szCs w:val="20"/>
              </w:rPr>
              <w:t xml:space="preserve">Diagnostic direct sur données réelles</w:t>
            </w:r>
          </w:p>
        </w:tc>
      </w:tr>
      <w:tr>
        <w:tc>
          <w:tcPr>
            <w:tcW w:type="dxa" w:w="2250"/>
            <w:tcMar>
              <w:top w:type="dxa" w:w="60"/>
              <w:left w:type="dxa" w:w="100"/>
              <w:bottom w:type="dxa" w:w="60"/>
              <w:right w:type="dxa" w:w="100"/>
            </w:tcMar>
          </w:tcPr>
          <w:p>
            <w:r>
              <w:rPr>
                <w:b w:val="false"/>
                <w:bCs w:val="false"/>
                <w:color w:val="000000"/>
                <w:sz w:val="20"/>
                <w:szCs w:val="20"/>
              </w:rPr>
              <w:t xml:space="preserve">6</w:t>
            </w:r>
          </w:p>
        </w:tc>
        <w:tc>
          <w:tcPr>
            <w:tcW w:type="dxa" w:w="2250"/>
            <w:tcMar>
              <w:top w:type="dxa" w:w="60"/>
              <w:left w:type="dxa" w:w="100"/>
              <w:bottom w:type="dxa" w:w="60"/>
              <w:right w:type="dxa" w:w="100"/>
            </w:tcMar>
          </w:tcPr>
          <w:p>
            <w:r>
              <w:rPr>
                <w:b w:val="false"/>
                <w:bCs w:val="false"/>
                <w:color w:val="000000"/>
                <w:sz w:val="20"/>
                <w:szCs w:val="20"/>
              </w:rPr>
              <w:t xml:space="preserve">Fichier réellement vide (cache périmé)</w:t>
            </w:r>
          </w:p>
        </w:tc>
        <w:tc>
          <w:tcPr>
            <w:tcW w:type="dxa" w:w="2250"/>
            <w:tcMar>
              <w:top w:type="dxa" w:w="60"/>
              <w:left w:type="dxa" w:w="100"/>
              <w:bottom w:type="dxa" w:w="60"/>
              <w:right w:type="dxa" w:w="100"/>
            </w:tcMar>
          </w:tcPr>
          <w:p>
            <w:r>
              <w:rPr>
                <w:b w:val="false"/>
                <w:bCs w:val="false"/>
                <w:color w:val="000000"/>
                <w:sz w:val="20"/>
                <w:szCs w:val="20"/>
              </w:rPr>
              <w:t xml:space="preserve">Comportement de cache incrémental MintPy</w:t>
            </w:r>
          </w:p>
        </w:tc>
        <w:tc>
          <w:tcPr>
            <w:tcW w:type="dxa" w:w="2250"/>
            <w:tcMar>
              <w:top w:type="dxa" w:w="60"/>
              <w:left w:type="dxa" w:w="100"/>
              <w:bottom w:type="dxa" w:w="60"/>
              <w:right w:type="dxa" w:w="100"/>
            </w:tcMar>
          </w:tcPr>
          <w:p>
            <w:r>
              <w:rPr>
                <w:b w:val="false"/>
                <w:bCs w:val="false"/>
                <w:color w:val="000000"/>
                <w:sz w:val="20"/>
                <w:szCs w:val="20"/>
              </w:rPr>
              <w:t xml:space="preserve">Nettoyage complet des produits dérivés</w:t>
            </w:r>
          </w:p>
        </w:tc>
      </w:tr>
      <w:tr>
        <w:tc>
          <w:tcPr>
            <w:tcW w:type="dxa" w:w="2250"/>
            <w:tcMar>
              <w:top w:type="dxa" w:w="60"/>
              <w:left w:type="dxa" w:w="100"/>
              <w:bottom w:type="dxa" w:w="60"/>
              <w:right w:type="dxa" w:w="100"/>
            </w:tcMar>
          </w:tcPr>
          <w:p>
            <w:r>
              <w:rPr>
                <w:b w:val="false"/>
                <w:bCs w:val="false"/>
                <w:color w:val="000000"/>
                <w:sz w:val="20"/>
                <w:szCs w:val="20"/>
              </w:rPr>
              <w:t xml:space="preserve">7</w:t>
            </w:r>
          </w:p>
        </w:tc>
        <w:tc>
          <w:tcPr>
            <w:tcW w:type="dxa" w:w="2250"/>
            <w:tcMar>
              <w:top w:type="dxa" w:w="60"/>
              <w:left w:type="dxa" w:w="100"/>
              <w:bottom w:type="dxa" w:w="60"/>
              <w:right w:type="dxa" w:w="100"/>
            </w:tcMar>
          </w:tcPr>
          <w:p>
            <w:r>
              <w:rPr>
                <w:b w:val="false"/>
                <w:bCs w:val="false"/>
                <w:color w:val="000000"/>
                <w:sz w:val="20"/>
                <w:szCs w:val="20"/>
              </w:rPr>
              <w:t xml:space="preserve">bridging : contrainte par-paire insatisfaisable</w:t>
            </w:r>
          </w:p>
        </w:tc>
        <w:tc>
          <w:tcPr>
            <w:tcW w:type="dxa" w:w="2250"/>
            <w:tcMar>
              <w:top w:type="dxa" w:w="60"/>
              <w:left w:type="dxa" w:w="100"/>
              <w:bottom w:type="dxa" w:w="60"/>
              <w:right w:type="dxa" w:w="100"/>
            </w:tcMar>
          </w:tcPr>
          <w:p>
            <w:r>
              <w:rPr>
                <w:b w:val="false"/>
                <w:bCs w:val="false"/>
                <w:color w:val="000000"/>
                <w:sz w:val="20"/>
                <w:szCs w:val="20"/>
              </w:rPr>
              <w:t xml:space="preserve">Limitation documentée de MintPy (discussion #819)</w:t>
            </w:r>
          </w:p>
        </w:tc>
        <w:tc>
          <w:tcPr>
            <w:tcW w:type="dxa" w:w="2250"/>
            <w:tcMar>
              <w:top w:type="dxa" w:w="60"/>
              <w:left w:type="dxa" w:w="100"/>
              <w:bottom w:type="dxa" w:w="60"/>
              <w:right w:type="dxa" w:w="100"/>
            </w:tcMar>
          </w:tcPr>
          <w:p>
            <w:r>
              <w:rPr>
                <w:b w:val="false"/>
                <w:bCs w:val="false"/>
                <w:color w:val="000000"/>
                <w:sz w:val="20"/>
                <w:szCs w:val="20"/>
              </w:rPr>
              <w:t xml:space="preserve">Contournée (méthode phase_closure)</w:t>
            </w:r>
          </w:p>
        </w:tc>
      </w:tr>
      <w:tr>
        <w:tc>
          <w:tcPr>
            <w:tcW w:type="dxa" w:w="2250"/>
            <w:tcMar>
              <w:top w:type="dxa" w:w="60"/>
              <w:left w:type="dxa" w:w="100"/>
              <w:bottom w:type="dxa" w:w="60"/>
              <w:right w:type="dxa" w:w="100"/>
            </w:tcMar>
          </w:tcPr>
          <w:p>
            <w:r>
              <w:rPr>
                <w:b w:val="false"/>
                <w:bCs w:val="false"/>
                <w:color w:val="000000"/>
                <w:sz w:val="20"/>
                <w:szCs w:val="20"/>
              </w:rPr>
              <w:t xml:space="preserve">8</w:t>
            </w:r>
          </w:p>
        </w:tc>
        <w:tc>
          <w:tcPr>
            <w:tcW w:type="dxa" w:w="2250"/>
            <w:tcMar>
              <w:top w:type="dxa" w:w="60"/>
              <w:left w:type="dxa" w:w="100"/>
              <w:bottom w:type="dxa" w:w="60"/>
              <w:right w:type="dxa" w:w="100"/>
            </w:tcMar>
          </w:tcPr>
          <w:p>
            <w:r>
              <w:rPr>
                <w:b w:val="false"/>
                <w:bCs w:val="false"/>
                <w:color w:val="000000"/>
                <w:sz w:val="20"/>
                <w:szCs w:val="20"/>
              </w:rPr>
              <w:t xml:space="preserve">phase_closure : "0 région commune"</w:t>
            </w:r>
          </w:p>
        </w:tc>
        <w:tc>
          <w:tcPr>
            <w:tcW w:type="dxa" w:w="2250"/>
            <w:tcMar>
              <w:top w:type="dxa" w:w="60"/>
              <w:left w:type="dxa" w:w="100"/>
              <w:bottom w:type="dxa" w:w="60"/>
              <w:right w:type="dxa" w:w="100"/>
            </w:tcMar>
          </w:tcPr>
          <w:p>
            <w:r>
              <w:rPr>
                <w:b w:val="false"/>
                <w:bCs w:val="false"/>
                <w:color w:val="000000"/>
                <w:sz w:val="20"/>
                <w:szCs w:val="20"/>
              </w:rPr>
              <w:t xml:space="preserve">Limitation physique du site (décorrélation)</w:t>
            </w:r>
          </w:p>
        </w:tc>
        <w:tc>
          <w:tcPr>
            <w:tcW w:type="dxa" w:w="2250"/>
            <w:tcMar>
              <w:top w:type="dxa" w:w="60"/>
              <w:left w:type="dxa" w:w="100"/>
              <w:bottom w:type="dxa" w:w="60"/>
              <w:right w:type="dxa" w:w="100"/>
            </w:tcMar>
          </w:tcPr>
          <w:p>
            <w:r>
              <w:rPr>
                <w:b w:val="false"/>
                <w:bCs w:val="false"/>
                <w:color w:val="000000"/>
                <w:sz w:val="20"/>
                <w:szCs w:val="20"/>
              </w:rPr>
              <w:t xml:space="preserve">Correction de déroulement désactivée</w:t>
            </w:r>
          </w:p>
        </w:tc>
      </w:tr>
    </w:tbl>
    <w:p>
      <w:pPr>
        <w:pStyle w:val="Heading2"/>
        <w:spacing w:after="150" w:before="300"/>
      </w:pPr>
      <w:r>
        <w:t xml:space="preserve">7.2 Résultat final retenu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3864" w:val="clear"/>
            <w:tcMar>
              <w:top w:type="dxa" w:w="60"/>
              <w:left w:type="dxa" w:w="100"/>
              <w:bottom w:type="dxa" w:w="60"/>
              <w:right w:type="dxa" w:w="100"/>
            </w:tcMar>
          </w:tcPr>
          <w:p>
            <w:r>
              <w:rPr>
                <w:b/>
                <w:bCs/>
                <w:color w:val="FFFFFF"/>
                <w:sz w:val="20"/>
                <w:szCs w:val="20"/>
              </w:rPr>
              <w:t xml:space="preserve">Métrique</w:t>
            </w:r>
          </w:p>
        </w:tc>
        <w:tc>
          <w:tcPr>
            <w:tcW w:type="dxa" w:w="4500"/>
            <w:shd w:fill="1F3864" w:val="clear"/>
            <w:tcMar>
              <w:top w:type="dxa" w:w="60"/>
              <w:left w:type="dxa" w:w="100"/>
              <w:bottom w:type="dxa" w:w="60"/>
              <w:right w:type="dxa" w:w="100"/>
            </w:tcMar>
          </w:tcPr>
          <w:p>
            <w:r>
              <w:rPr>
                <w:b/>
                <w:bCs/>
                <w:color w:val="FFFFFF"/>
                <w:sz w:val="20"/>
                <w:szCs w:val="20"/>
              </w:rPr>
              <w:t xml:space="preserve">Valeur</w:t>
            </w:r>
          </w:p>
        </w:tc>
      </w:tr>
      <w:tr>
        <w:tc>
          <w:tcPr>
            <w:tcW w:type="dxa" w:w="4500"/>
            <w:tcMar>
              <w:top w:type="dxa" w:w="60"/>
              <w:left w:type="dxa" w:w="100"/>
              <w:bottom w:type="dxa" w:w="60"/>
              <w:right w:type="dxa" w:w="100"/>
            </w:tcMar>
          </w:tcPr>
          <w:p>
            <w:r>
              <w:rPr>
                <w:b w:val="false"/>
                <w:bCs w:val="false"/>
                <w:color w:val="000000"/>
                <w:sz w:val="20"/>
                <w:szCs w:val="20"/>
              </w:rPr>
              <w:t xml:space="preserve">Code de sortie</w:t>
            </w:r>
          </w:p>
        </w:tc>
        <w:tc>
          <w:tcPr>
            <w:tcW w:type="dxa" w:w="4500"/>
            <w:tcMar>
              <w:top w:type="dxa" w:w="60"/>
              <w:left w:type="dxa" w:w="100"/>
              <w:bottom w:type="dxa" w:w="60"/>
              <w:right w:type="dxa" w:w="100"/>
            </w:tcMar>
          </w:tcPr>
          <w:p>
            <w:r>
              <w:rPr>
                <w:b w:val="false"/>
                <w:bCs w:val="false"/>
                <w:color w:val="000000"/>
                <w:sz w:val="20"/>
                <w:szCs w:val="20"/>
              </w:rPr>
              <w:t xml:space="preserve">0 (succès)</w:t>
            </w:r>
          </w:p>
        </w:tc>
      </w:tr>
      <w:tr>
        <w:tc>
          <w:tcPr>
            <w:tcW w:type="dxa" w:w="4500"/>
            <w:tcMar>
              <w:top w:type="dxa" w:w="60"/>
              <w:left w:type="dxa" w:w="100"/>
              <w:bottom w:type="dxa" w:w="60"/>
              <w:right w:type="dxa" w:w="100"/>
            </w:tcMar>
          </w:tcPr>
          <w:p>
            <w:r>
              <w:rPr>
                <w:b w:val="false"/>
                <w:bCs w:val="false"/>
                <w:color w:val="000000"/>
                <w:sz w:val="20"/>
                <w:szCs w:val="20"/>
              </w:rPr>
              <w:t xml:space="preserve">Pixels résolus (cohérence ≥ 0,7)</w:t>
            </w:r>
          </w:p>
        </w:tc>
        <w:tc>
          <w:tcPr>
            <w:tcW w:type="dxa" w:w="4500"/>
            <w:tcMar>
              <w:top w:type="dxa" w:w="60"/>
              <w:left w:type="dxa" w:w="100"/>
              <w:bottom w:type="dxa" w:w="60"/>
              <w:right w:type="dxa" w:w="100"/>
            </w:tcMar>
          </w:tcPr>
          <w:p>
            <w:r>
              <w:rPr>
                <w:b w:val="false"/>
                <w:bCs w:val="false"/>
                <w:color w:val="000000"/>
                <w:sz w:val="20"/>
                <w:szCs w:val="20"/>
              </w:rPr>
              <w:t xml:space="preserve">182 (1,0 % de la grille)</w:t>
            </w:r>
          </w:p>
        </w:tc>
      </w:tr>
      <w:tr>
        <w:tc>
          <w:tcPr>
            <w:tcW w:type="dxa" w:w="4500"/>
            <w:tcMar>
              <w:top w:type="dxa" w:w="60"/>
              <w:left w:type="dxa" w:w="100"/>
              <w:bottom w:type="dxa" w:w="60"/>
              <w:right w:type="dxa" w:w="100"/>
            </w:tcMar>
          </w:tcPr>
          <w:p>
            <w:r>
              <w:rPr>
                <w:b w:val="false"/>
                <w:bCs w:val="false"/>
                <w:color w:val="000000"/>
                <w:sz w:val="20"/>
                <w:szCs w:val="20"/>
              </w:rPr>
              <w:t xml:space="preserve">Correction de déroulement</w:t>
            </w:r>
          </w:p>
        </w:tc>
        <w:tc>
          <w:tcPr>
            <w:tcW w:type="dxa" w:w="4500"/>
            <w:tcMar>
              <w:top w:type="dxa" w:w="60"/>
              <w:left w:type="dxa" w:w="100"/>
              <w:bottom w:type="dxa" w:w="60"/>
              <w:right w:type="dxa" w:w="100"/>
            </w:tcMar>
          </w:tcPr>
          <w:p>
            <w:r>
              <w:rPr>
                <w:b w:val="false"/>
                <w:bCs w:val="false"/>
                <w:color w:val="000000"/>
                <w:sz w:val="20"/>
                <w:szCs w:val="20"/>
              </w:rPr>
              <w:t xml:space="preserve">Désactivée (justifiée, voir 7.1 #7-8)</w:t>
            </w:r>
          </w:p>
        </w:tc>
      </w:tr>
    </w:tbl>
    <w:p>
      <w:pPr>
        <w:pBdr>
          <w:left w:val="single" w:color="2E7D6B" w:sz="12" w:space="8"/>
        </w:pBdr>
        <w:spacing w:after="200" w:before="100"/>
      </w:pPr>
      <w:r>
        <w:rPr>
          <w:i/>
          <w:iCs/>
          <w:color w:val="666666"/>
        </w:rPr>
        <w:t xml:space="preserve">Constat scientifique central : sur des produits HyP3 de type burst, en tourbière + champs agricoles, à cadence 12 jours, aucune méthode de correction d'erreur de déroulement de MintPy n'est applicable — phase_closure lui-même ne trouve aucune région commune entre les 346 interférogrammes. C'est une mesure directe du niveau de décorrélation du site, pas une limite de l'outil ou du code, et un résultat citable pour la discussion méthodologique de la thèse.</w:t>
      </w:r>
    </w:p>
    <w:p>
      <w:pPr>
        <w:pStyle w:val="Heading1"/>
        <w:spacing w:after="200" w:before="400"/>
      </w:pPr>
      <w:r>
        <w:t xml:space="preserve">8. Phase 9 — Inversion ISBAS personnalisée</w:t>
      </w:r>
    </w:p>
    <w:p>
      <w:pPr>
        <w:spacing w:after="120"/>
      </w:pPr>
      <w:r>
        <w:t xml:space="preserve">Inversion pixel par pixel par moindres carrés pondérés, sur les seules paires cohérentes ET hors-eau, avec un minimum de paires valides par pixel — sans les contraintes de composante connexe partagée qui ont bloqué MintPy.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F3864" w:val="clear"/>
            <w:tcMar>
              <w:top w:type="dxa" w:w="60"/>
              <w:left w:type="dxa" w:w="100"/>
              <w:bottom w:type="dxa" w:w="60"/>
              <w:right w:type="dxa" w:w="100"/>
            </w:tcMar>
          </w:tcPr>
          <w:p>
            <w:r>
              <w:rPr>
                <w:b/>
                <w:bCs/>
                <w:color w:val="FFFFFF"/>
                <w:sz w:val="20"/>
                <w:szCs w:val="20"/>
              </w:rPr>
              <w:t xml:space="preserve">Métrique</w:t>
            </w:r>
          </w:p>
        </w:tc>
        <w:tc>
          <w:tcPr>
            <w:tcW w:type="dxa" w:w="2250"/>
            <w:shd w:fill="1F3864" w:val="clear"/>
            <w:tcMar>
              <w:top w:type="dxa" w:w="60"/>
              <w:left w:type="dxa" w:w="100"/>
              <w:bottom w:type="dxa" w:w="60"/>
              <w:right w:type="dxa" w:w="100"/>
            </w:tcMar>
          </w:tcPr>
          <w:p>
            <w:r>
              <w:rPr>
                <w:b/>
                <w:bCs/>
                <w:color w:val="FFFFFF"/>
                <w:sz w:val="20"/>
                <w:szCs w:val="20"/>
              </w:rPr>
              <w:t xml:space="preserve">SBAS (Phase 8)</w:t>
            </w:r>
          </w:p>
        </w:tc>
        <w:tc>
          <w:tcPr>
            <w:tcW w:type="dxa" w:w="2250"/>
            <w:shd w:fill="1F3864" w:val="clear"/>
            <w:tcMar>
              <w:top w:type="dxa" w:w="60"/>
              <w:left w:type="dxa" w:w="100"/>
              <w:bottom w:type="dxa" w:w="60"/>
              <w:right w:type="dxa" w:w="100"/>
            </w:tcMar>
          </w:tcPr>
          <w:p>
            <w:r>
              <w:rPr>
                <w:b/>
                <w:bCs/>
                <w:color w:val="FFFFFF"/>
                <w:sz w:val="20"/>
                <w:szCs w:val="20"/>
              </w:rPr>
              <w:t xml:space="preserve">ISBAS (Phase 9)</w:t>
            </w:r>
          </w:p>
        </w:tc>
        <w:tc>
          <w:tcPr>
            <w:tcW w:type="dxa" w:w="2250"/>
            <w:shd w:fill="1F3864" w:val="clear"/>
            <w:tcMar>
              <w:top w:type="dxa" w:w="60"/>
              <w:left w:type="dxa" w:w="100"/>
              <w:bottom w:type="dxa" w:w="60"/>
              <w:right w:type="dxa" w:w="100"/>
            </w:tcMar>
          </w:tcPr>
          <w:p>
            <w:r>
              <w:rPr>
                <w:b/>
                <w:bCs/>
                <w:color w:val="FFFFFF"/>
                <w:sz w:val="20"/>
                <w:szCs w:val="20"/>
              </w:rPr>
              <w:t xml:space="preserve">Gain</w:t>
            </w:r>
          </w:p>
        </w:tc>
      </w:tr>
      <w:tr>
        <w:tc>
          <w:tcPr>
            <w:tcW w:type="dxa" w:w="2250"/>
            <w:tcMar>
              <w:top w:type="dxa" w:w="60"/>
              <w:left w:type="dxa" w:w="100"/>
              <w:bottom w:type="dxa" w:w="60"/>
              <w:right w:type="dxa" w:w="100"/>
            </w:tcMar>
          </w:tcPr>
          <w:p>
            <w:r>
              <w:rPr>
                <w:b w:val="false"/>
                <w:bCs w:val="false"/>
                <w:color w:val="000000"/>
                <w:sz w:val="20"/>
                <w:szCs w:val="20"/>
              </w:rPr>
              <w:t xml:space="preserve">Pixels résolus</w:t>
            </w:r>
          </w:p>
        </w:tc>
        <w:tc>
          <w:tcPr>
            <w:tcW w:type="dxa" w:w="2250"/>
            <w:tcMar>
              <w:top w:type="dxa" w:w="60"/>
              <w:left w:type="dxa" w:w="100"/>
              <w:bottom w:type="dxa" w:w="60"/>
              <w:right w:type="dxa" w:w="100"/>
            </w:tcMar>
          </w:tcPr>
          <w:p>
            <w:r>
              <w:rPr>
                <w:b w:val="false"/>
                <w:bCs w:val="false"/>
                <w:color w:val="000000"/>
                <w:sz w:val="20"/>
                <w:szCs w:val="20"/>
              </w:rPr>
              <w:t xml:space="preserve">182 (1,0 %)</w:t>
            </w:r>
          </w:p>
        </w:tc>
        <w:tc>
          <w:tcPr>
            <w:tcW w:type="dxa" w:w="2250"/>
            <w:tcMar>
              <w:top w:type="dxa" w:w="60"/>
              <w:left w:type="dxa" w:w="100"/>
              <w:bottom w:type="dxa" w:w="60"/>
              <w:right w:type="dxa" w:w="100"/>
            </w:tcMar>
          </w:tcPr>
          <w:p>
            <w:r>
              <w:rPr>
                <w:b w:val="false"/>
                <w:bCs w:val="false"/>
                <w:color w:val="000000"/>
                <w:sz w:val="20"/>
                <w:szCs w:val="20"/>
              </w:rPr>
              <w:t xml:space="preserve">14 043 (78,9 %)</w:t>
            </w:r>
          </w:p>
        </w:tc>
        <w:tc>
          <w:tcPr>
            <w:tcW w:type="dxa" w:w="2250"/>
            <w:tcMar>
              <w:top w:type="dxa" w:w="60"/>
              <w:left w:type="dxa" w:w="100"/>
              <w:bottom w:type="dxa" w:w="60"/>
              <w:right w:type="dxa" w:w="100"/>
            </w:tcMar>
          </w:tcPr>
          <w:p>
            <w:r>
              <w:rPr>
                <w:b w:val="false"/>
                <w:bCs w:val="false"/>
                <w:color w:val="000000"/>
                <w:sz w:val="20"/>
                <w:szCs w:val="20"/>
              </w:rPr>
              <w:t xml:space="preserve">×77</w:t>
            </w:r>
          </w:p>
        </w:tc>
      </w:tr>
    </w:tbl>
    <w:p>
      <w:pPr>
        <w:spacing w:after="120"/>
      </w:pPr>
      <w:r>
        <w:t xml:space="preserve">Contrôle qualité (fermeture de triplets de phase) : fraction de triplets non fermés de 0,30 à 0,50 sur l'ensemble de la grille, avec un pic (~0,50) au niveau du cœur/lac — signal cohérent avec la difficulté de déroulement identifiée en Phase 8, quantifié ici plutôt que supposé.</w:t>
      </w:r>
    </w:p>
    <w:p>
      <w:pPr>
        <w:pStyle w:val="Heading1"/>
        <w:spacing w:after="200" w:before="400"/>
      </w:pPr>
      <w:r>
        <w:t xml:space="preserve">9. Phase 10 — Comparaison quantitative SBAS vs ISBAS</w:t>
      </w:r>
    </w:p>
    <w:p>
      <w:pPr>
        <w:pStyle w:val="Heading2"/>
        <w:spacing w:after="150" w:before="300"/>
      </w:pPr>
      <w:r>
        <w:t xml:space="preserve">9.1 Bug de désalignement de grille</w:t>
      </w:r>
    </w:p>
    <w:p>
      <w:pPr>
        <w:spacing w:after="120"/>
      </w:pPr>
      <w:r>
        <w:t xml:space="preserve">Premier essai : tous les comptages affichaient 0 pixel résolu en SBAS dans chaque classe, malgré une carte visiblement non vide. Cause : les grilles MintPy (coordonnées reconstruites depuis les attributs HDF5 X_FIRST/Y_STEP) et celles du reste du pipeline (lues directement des GeoTIFF via rioxarray) représentent le même crop mais avec des valeurs de coordonnées légèrement différentes en précision flottante. xarray aligne par égalité exacte, pas par position : toute comparaison directe donnait une intersection vide, silencieusement. Corrigé par une fonction d'alignement de grille (align_grid), testée et vérifiée sur données synthétiques reproduisant exactement le symptôme.</w:t>
      </w:r>
    </w:p>
    <w:p>
      <w:pPr>
        <w:pStyle w:val="Heading2"/>
        <w:spacing w:after="150" w:before="300"/>
      </w:pPr>
      <w:r>
        <w:t xml:space="preserve">9.2 Résultats finaux (après correction)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1F3864" w:val="clear"/>
            <w:tcMar>
              <w:top w:type="dxa" w:w="60"/>
              <w:left w:type="dxa" w:w="100"/>
              <w:bottom w:type="dxa" w:w="60"/>
              <w:right w:type="dxa" w:w="100"/>
            </w:tcMar>
          </w:tcPr>
          <w:p>
            <w:r>
              <w:rPr>
                <w:b/>
                <w:bCs/>
                <w:color w:val="FFFFFF"/>
                <w:sz w:val="20"/>
                <w:szCs w:val="20"/>
              </w:rPr>
              <w:t xml:space="preserve">Classe</w:t>
            </w:r>
          </w:p>
        </w:tc>
        <w:tc>
          <w:tcPr>
            <w:tcW w:type="dxa" w:w="1800"/>
            <w:shd w:fill="1F3864" w:val="clear"/>
            <w:tcMar>
              <w:top w:type="dxa" w:w="60"/>
              <w:left w:type="dxa" w:w="100"/>
              <w:bottom w:type="dxa" w:w="60"/>
              <w:right w:type="dxa" w:w="100"/>
            </w:tcMar>
          </w:tcPr>
          <w:p>
            <w:r>
              <w:rPr>
                <w:b/>
                <w:bCs/>
                <w:color w:val="FFFFFF"/>
                <w:sz w:val="20"/>
                <w:szCs w:val="20"/>
              </w:rPr>
              <w:t xml:space="preserve">Pixels</w:t>
            </w:r>
          </w:p>
        </w:tc>
        <w:tc>
          <w:tcPr>
            <w:tcW w:type="dxa" w:w="1800"/>
            <w:shd w:fill="1F3864" w:val="clear"/>
            <w:tcMar>
              <w:top w:type="dxa" w:w="60"/>
              <w:left w:type="dxa" w:w="100"/>
              <w:bottom w:type="dxa" w:w="60"/>
              <w:right w:type="dxa" w:w="100"/>
            </w:tcMar>
          </w:tcPr>
          <w:p>
            <w:r>
              <w:rPr>
                <w:b/>
                <w:bCs/>
                <w:color w:val="FFFFFF"/>
                <w:sz w:val="20"/>
                <w:szCs w:val="20"/>
              </w:rPr>
              <w:t xml:space="preserve">SBAS résolus</w:t>
            </w:r>
          </w:p>
        </w:tc>
        <w:tc>
          <w:tcPr>
            <w:tcW w:type="dxa" w:w="1800"/>
            <w:shd w:fill="1F3864" w:val="clear"/>
            <w:tcMar>
              <w:top w:type="dxa" w:w="60"/>
              <w:left w:type="dxa" w:w="100"/>
              <w:bottom w:type="dxa" w:w="60"/>
              <w:right w:type="dxa" w:w="100"/>
            </w:tcMar>
          </w:tcPr>
          <w:p>
            <w:r>
              <w:rPr>
                <w:b/>
                <w:bCs/>
                <w:color w:val="FFFFFF"/>
                <w:sz w:val="20"/>
                <w:szCs w:val="20"/>
              </w:rPr>
              <w:t xml:space="preserve">ISBAS résolus</w:t>
            </w:r>
          </w:p>
        </w:tc>
        <w:tc>
          <w:tcPr>
            <w:tcW w:type="dxa" w:w="1800"/>
            <w:shd w:fill="1F3864" w:val="clear"/>
            <w:tcMar>
              <w:top w:type="dxa" w:w="60"/>
              <w:left w:type="dxa" w:w="100"/>
              <w:bottom w:type="dxa" w:w="60"/>
              <w:right w:type="dxa" w:w="100"/>
            </w:tcMar>
          </w:tcPr>
          <w:p>
            <w:r>
              <w:rPr>
                <w:b/>
                <w:bCs/>
                <w:color w:val="FFFFFF"/>
                <w:sz w:val="20"/>
                <w:szCs w:val="20"/>
              </w:rPr>
              <w:t xml:space="preserve">Gain ISBAS</w:t>
            </w:r>
          </w:p>
        </w:tc>
      </w:tr>
      <w:tr>
        <w:tc>
          <w:tcPr>
            <w:tcW w:type="dxa" w:w="1800"/>
            <w:tcMar>
              <w:top w:type="dxa" w:w="60"/>
              <w:left w:type="dxa" w:w="100"/>
              <w:bottom w:type="dxa" w:w="60"/>
              <w:right w:type="dxa" w:w="100"/>
            </w:tcMar>
          </w:tcPr>
          <w:p>
            <w:r>
              <w:rPr>
                <w:b w:val="false"/>
                <w:bCs w:val="false"/>
                <w:color w:val="000000"/>
                <w:sz w:val="20"/>
                <w:szCs w:val="20"/>
              </w:rPr>
              <w:t xml:space="preserve">A</w:t>
            </w:r>
          </w:p>
        </w:tc>
        <w:tc>
          <w:tcPr>
            <w:tcW w:type="dxa" w:w="1800"/>
            <w:tcMar>
              <w:top w:type="dxa" w:w="60"/>
              <w:left w:type="dxa" w:w="100"/>
              <w:bottom w:type="dxa" w:w="60"/>
              <w:right w:type="dxa" w:w="100"/>
            </w:tcMar>
          </w:tcPr>
          <w:p>
            <w:r>
              <w:rPr>
                <w:b w:val="false"/>
                <w:bCs w:val="false"/>
                <w:color w:val="000000"/>
                <w:sz w:val="20"/>
                <w:szCs w:val="20"/>
              </w:rPr>
              <w:t xml:space="preserve">6 712</w:t>
            </w:r>
          </w:p>
        </w:tc>
        <w:tc>
          <w:tcPr>
            <w:tcW w:type="dxa" w:w="1800"/>
            <w:tcMar>
              <w:top w:type="dxa" w:w="60"/>
              <w:left w:type="dxa" w:w="100"/>
              <w:bottom w:type="dxa" w:w="60"/>
              <w:right w:type="dxa" w:w="100"/>
            </w:tcMar>
          </w:tcPr>
          <w:p>
            <w:r>
              <w:rPr>
                <w:b w:val="false"/>
                <w:bCs w:val="false"/>
                <w:color w:val="000000"/>
                <w:sz w:val="20"/>
                <w:szCs w:val="20"/>
              </w:rPr>
              <w:t xml:space="preserve">0</w:t>
            </w:r>
          </w:p>
        </w:tc>
        <w:tc>
          <w:tcPr>
            <w:tcW w:type="dxa" w:w="1800"/>
            <w:tcMar>
              <w:top w:type="dxa" w:w="60"/>
              <w:left w:type="dxa" w:w="100"/>
              <w:bottom w:type="dxa" w:w="60"/>
              <w:right w:type="dxa" w:w="100"/>
            </w:tcMar>
          </w:tcPr>
          <w:p>
            <w:r>
              <w:rPr>
                <w:b w:val="false"/>
                <w:bCs w:val="false"/>
                <w:color w:val="000000"/>
                <w:sz w:val="20"/>
                <w:szCs w:val="20"/>
              </w:rPr>
              <w:t xml:space="preserve">6 297</w:t>
            </w:r>
          </w:p>
        </w:tc>
        <w:tc>
          <w:tcPr>
            <w:tcW w:type="dxa" w:w="1800"/>
            <w:tcMar>
              <w:top w:type="dxa" w:w="60"/>
              <w:left w:type="dxa" w:w="100"/>
              <w:bottom w:type="dxa" w:w="60"/>
              <w:right w:type="dxa" w:w="100"/>
            </w:tcMar>
          </w:tcPr>
          <w:p>
            <w:r>
              <w:rPr>
                <w:b w:val="false"/>
                <w:bCs w:val="false"/>
                <w:color w:val="000000"/>
                <w:sz w:val="20"/>
                <w:szCs w:val="20"/>
              </w:rPr>
              <w:t xml:space="preserve">93,8 %</w:t>
            </w:r>
          </w:p>
        </w:tc>
      </w:tr>
      <w:tr>
        <w:tc>
          <w:tcPr>
            <w:tcW w:type="dxa" w:w="1800"/>
            <w:tcMar>
              <w:top w:type="dxa" w:w="60"/>
              <w:left w:type="dxa" w:w="100"/>
              <w:bottom w:type="dxa" w:w="60"/>
              <w:right w:type="dxa" w:w="100"/>
            </w:tcMar>
          </w:tcPr>
          <w:p>
            <w:r>
              <w:rPr>
                <w:b w:val="false"/>
                <w:bCs w:val="false"/>
                <w:color w:val="000000"/>
                <w:sz w:val="20"/>
                <w:szCs w:val="20"/>
              </w:rPr>
              <w:t xml:space="preserve">B</w:t>
            </w:r>
          </w:p>
        </w:tc>
        <w:tc>
          <w:tcPr>
            <w:tcW w:type="dxa" w:w="1800"/>
            <w:tcMar>
              <w:top w:type="dxa" w:w="60"/>
              <w:left w:type="dxa" w:w="100"/>
              <w:bottom w:type="dxa" w:w="60"/>
              <w:right w:type="dxa" w:w="100"/>
            </w:tcMar>
          </w:tcPr>
          <w:p>
            <w:r>
              <w:rPr>
                <w:b w:val="false"/>
                <w:bCs w:val="false"/>
                <w:color w:val="000000"/>
                <w:sz w:val="20"/>
                <w:szCs w:val="20"/>
              </w:rPr>
              <w:t xml:space="preserve">7 217</w:t>
            </w:r>
          </w:p>
        </w:tc>
        <w:tc>
          <w:tcPr>
            <w:tcW w:type="dxa" w:w="1800"/>
            <w:tcMar>
              <w:top w:type="dxa" w:w="60"/>
              <w:left w:type="dxa" w:w="100"/>
              <w:bottom w:type="dxa" w:w="60"/>
              <w:right w:type="dxa" w:w="100"/>
            </w:tcMar>
          </w:tcPr>
          <w:p>
            <w:r>
              <w:rPr>
                <w:b w:val="false"/>
                <w:bCs w:val="false"/>
                <w:color w:val="000000"/>
                <w:sz w:val="20"/>
                <w:szCs w:val="20"/>
              </w:rPr>
              <w:t xml:space="preserve">0</w:t>
            </w:r>
          </w:p>
        </w:tc>
        <w:tc>
          <w:tcPr>
            <w:tcW w:type="dxa" w:w="1800"/>
            <w:tcMar>
              <w:top w:type="dxa" w:w="60"/>
              <w:left w:type="dxa" w:w="100"/>
              <w:bottom w:type="dxa" w:w="60"/>
              <w:right w:type="dxa" w:w="100"/>
            </w:tcMar>
          </w:tcPr>
          <w:p>
            <w:r>
              <w:rPr>
                <w:b w:val="false"/>
                <w:bCs w:val="false"/>
                <w:color w:val="000000"/>
                <w:sz w:val="20"/>
                <w:szCs w:val="20"/>
              </w:rPr>
              <w:t xml:space="preserve">7 215</w:t>
            </w:r>
          </w:p>
        </w:tc>
        <w:tc>
          <w:tcPr>
            <w:tcW w:type="dxa" w:w="1800"/>
            <w:tcMar>
              <w:top w:type="dxa" w:w="60"/>
              <w:left w:type="dxa" w:w="100"/>
              <w:bottom w:type="dxa" w:w="60"/>
              <w:right w:type="dxa" w:w="100"/>
            </w:tcMar>
          </w:tcPr>
          <w:p>
            <w:r>
              <w:rPr>
                <w:b w:val="false"/>
                <w:bCs w:val="false"/>
                <w:color w:val="000000"/>
                <w:sz w:val="20"/>
                <w:szCs w:val="20"/>
              </w:rPr>
              <w:t xml:space="preserve">100,0 %</w:t>
            </w:r>
          </w:p>
        </w:tc>
      </w:tr>
      <w:tr>
        <w:tc>
          <w:tcPr>
            <w:tcW w:type="dxa" w:w="1800"/>
            <w:tcMar>
              <w:top w:type="dxa" w:w="60"/>
              <w:left w:type="dxa" w:w="100"/>
              <w:bottom w:type="dxa" w:w="60"/>
              <w:right w:type="dxa" w:w="100"/>
            </w:tcMar>
          </w:tcPr>
          <w:p>
            <w:r>
              <w:rPr>
                <w:b w:val="false"/>
                <w:bCs w:val="false"/>
                <w:color w:val="000000"/>
                <w:sz w:val="20"/>
                <w:szCs w:val="20"/>
              </w:rPr>
              <w:t xml:space="preserve">C (cœur)</w:t>
            </w:r>
          </w:p>
        </w:tc>
        <w:tc>
          <w:tcPr>
            <w:tcW w:type="dxa" w:w="1800"/>
            <w:tcMar>
              <w:top w:type="dxa" w:w="60"/>
              <w:left w:type="dxa" w:w="100"/>
              <w:bottom w:type="dxa" w:w="60"/>
              <w:right w:type="dxa" w:w="100"/>
            </w:tcMar>
          </w:tcPr>
          <w:p>
            <w:r>
              <w:rPr>
                <w:b w:val="false"/>
                <w:bCs w:val="false"/>
                <w:color w:val="000000"/>
                <w:sz w:val="20"/>
                <w:szCs w:val="20"/>
              </w:rPr>
              <w:t xml:space="preserve">486</w:t>
            </w:r>
          </w:p>
        </w:tc>
        <w:tc>
          <w:tcPr>
            <w:tcW w:type="dxa" w:w="1800"/>
            <w:tcMar>
              <w:top w:type="dxa" w:w="60"/>
              <w:left w:type="dxa" w:w="100"/>
              <w:bottom w:type="dxa" w:w="60"/>
              <w:right w:type="dxa" w:w="100"/>
            </w:tcMar>
          </w:tcPr>
          <w:p>
            <w:r>
              <w:rPr>
                <w:b w:val="false"/>
                <w:bCs w:val="false"/>
                <w:color w:val="000000"/>
                <w:sz w:val="20"/>
                <w:szCs w:val="20"/>
              </w:rPr>
              <w:t xml:space="preserve">0</w:t>
            </w:r>
          </w:p>
        </w:tc>
        <w:tc>
          <w:tcPr>
            <w:tcW w:type="dxa" w:w="1800"/>
            <w:tcMar>
              <w:top w:type="dxa" w:w="60"/>
              <w:left w:type="dxa" w:w="100"/>
              <w:bottom w:type="dxa" w:w="60"/>
              <w:right w:type="dxa" w:w="100"/>
            </w:tcMar>
          </w:tcPr>
          <w:p>
            <w:r>
              <w:rPr>
                <w:b w:val="false"/>
                <w:bCs w:val="false"/>
                <w:color w:val="000000"/>
                <w:sz w:val="20"/>
                <w:szCs w:val="20"/>
              </w:rPr>
              <w:t xml:space="preserve">486</w:t>
            </w:r>
          </w:p>
        </w:tc>
        <w:tc>
          <w:tcPr>
            <w:tcW w:type="dxa" w:w="1800"/>
            <w:tcMar>
              <w:top w:type="dxa" w:w="60"/>
              <w:left w:type="dxa" w:w="100"/>
              <w:bottom w:type="dxa" w:w="60"/>
              <w:right w:type="dxa" w:w="100"/>
            </w:tcMar>
          </w:tcPr>
          <w:p>
            <w:r>
              <w:rPr>
                <w:b w:val="false"/>
                <w:bCs w:val="false"/>
                <w:color w:val="000000"/>
                <w:sz w:val="20"/>
                <w:szCs w:val="20"/>
              </w:rPr>
              <w:t xml:space="preserve">100,0 %</w:t>
            </w:r>
          </w:p>
        </w:tc>
      </w:tr>
      <w:tr>
        <w:tc>
          <w:tcPr>
            <w:tcW w:type="dxa" w:w="1800"/>
            <w:tcMar>
              <w:top w:type="dxa" w:w="60"/>
              <w:left w:type="dxa" w:w="100"/>
              <w:bottom w:type="dxa" w:w="60"/>
              <w:right w:type="dxa" w:w="100"/>
            </w:tcMar>
          </w:tcPr>
          <w:p>
            <w:r>
              <w:rPr>
                <w:b w:val="false"/>
                <w:bCs w:val="false"/>
                <w:color w:val="000000"/>
                <w:sz w:val="20"/>
                <w:szCs w:val="20"/>
              </w:rPr>
              <w:t xml:space="preserve">D (transition)</w:t>
            </w:r>
          </w:p>
        </w:tc>
        <w:tc>
          <w:tcPr>
            <w:tcW w:type="dxa" w:w="1800"/>
            <w:tcMar>
              <w:top w:type="dxa" w:w="60"/>
              <w:left w:type="dxa" w:w="100"/>
              <w:bottom w:type="dxa" w:w="60"/>
              <w:right w:type="dxa" w:w="100"/>
            </w:tcMar>
          </w:tcPr>
          <w:p>
            <w:r>
              <w:rPr>
                <w:b w:val="false"/>
                <w:bCs w:val="false"/>
                <w:color w:val="000000"/>
                <w:sz w:val="20"/>
                <w:szCs w:val="20"/>
              </w:rPr>
              <w:t xml:space="preserve">56</w:t>
            </w:r>
          </w:p>
        </w:tc>
        <w:tc>
          <w:tcPr>
            <w:tcW w:type="dxa" w:w="1800"/>
            <w:tcMar>
              <w:top w:type="dxa" w:w="60"/>
              <w:left w:type="dxa" w:w="100"/>
              <w:bottom w:type="dxa" w:w="60"/>
              <w:right w:type="dxa" w:w="100"/>
            </w:tcMar>
          </w:tcPr>
          <w:p>
            <w:r>
              <w:rPr>
                <w:b w:val="false"/>
                <w:bCs w:val="false"/>
                <w:color w:val="000000"/>
                <w:sz w:val="20"/>
                <w:szCs w:val="20"/>
              </w:rPr>
              <w:t xml:space="preserve">0</w:t>
            </w:r>
          </w:p>
        </w:tc>
        <w:tc>
          <w:tcPr>
            <w:tcW w:type="dxa" w:w="1800"/>
            <w:tcMar>
              <w:top w:type="dxa" w:w="60"/>
              <w:left w:type="dxa" w:w="100"/>
              <w:bottom w:type="dxa" w:w="60"/>
              <w:right w:type="dxa" w:w="100"/>
            </w:tcMar>
          </w:tcPr>
          <w:p>
            <w:r>
              <w:rPr>
                <w:b w:val="false"/>
                <w:bCs w:val="false"/>
                <w:color w:val="000000"/>
                <w:sz w:val="20"/>
                <w:szCs w:val="20"/>
              </w:rPr>
              <w:t xml:space="preserve">45</w:t>
            </w:r>
          </w:p>
        </w:tc>
        <w:tc>
          <w:tcPr>
            <w:tcW w:type="dxa" w:w="1800"/>
            <w:tcMar>
              <w:top w:type="dxa" w:w="60"/>
              <w:left w:type="dxa" w:w="100"/>
              <w:bottom w:type="dxa" w:w="60"/>
              <w:right w:type="dxa" w:w="100"/>
            </w:tcMar>
          </w:tcPr>
          <w:p>
            <w:r>
              <w:rPr>
                <w:b w:val="false"/>
                <w:bCs w:val="false"/>
                <w:color w:val="000000"/>
                <w:sz w:val="20"/>
                <w:szCs w:val="20"/>
              </w:rPr>
              <w:t xml:space="preserve">80,4 %</w:t>
            </w:r>
          </w:p>
        </w:tc>
      </w:tr>
      <w:tr>
        <w:tc>
          <w:tcPr>
            <w:tcW w:type="dxa" w:w="1800"/>
            <w:tcMar>
              <w:top w:type="dxa" w:w="60"/>
              <w:left w:type="dxa" w:w="100"/>
              <w:bottom w:type="dxa" w:w="60"/>
              <w:right w:type="dxa" w:w="100"/>
            </w:tcMar>
          </w:tcPr>
          <w:p>
            <w:r>
              <w:rPr>
                <w:b w:val="false"/>
                <w:bCs w:val="false"/>
                <w:color w:val="000000"/>
                <w:sz w:val="20"/>
                <w:szCs w:val="20"/>
              </w:rPr>
              <w:t xml:space="preserve">E (eau)</w:t>
            </w:r>
          </w:p>
        </w:tc>
        <w:tc>
          <w:tcPr>
            <w:tcW w:type="dxa" w:w="1800"/>
            <w:tcMar>
              <w:top w:type="dxa" w:w="60"/>
              <w:left w:type="dxa" w:w="100"/>
              <w:bottom w:type="dxa" w:w="60"/>
              <w:right w:type="dxa" w:w="100"/>
            </w:tcMar>
          </w:tcPr>
          <w:p>
            <w:r>
              <w:rPr>
                <w:b w:val="false"/>
                <w:bCs w:val="false"/>
                <w:color w:val="000000"/>
                <w:sz w:val="20"/>
                <w:szCs w:val="20"/>
              </w:rPr>
              <w:t xml:space="preserve">22</w:t>
            </w:r>
          </w:p>
        </w:tc>
        <w:tc>
          <w:tcPr>
            <w:tcW w:type="dxa" w:w="1800"/>
            <w:tcMar>
              <w:top w:type="dxa" w:w="60"/>
              <w:left w:type="dxa" w:w="100"/>
              <w:bottom w:type="dxa" w:w="60"/>
              <w:right w:type="dxa" w:w="100"/>
            </w:tcMar>
          </w:tcPr>
          <w:p>
            <w:r>
              <w:rPr>
                <w:b w:val="false"/>
                <w:bCs w:val="false"/>
                <w:color w:val="000000"/>
                <w:sz w:val="20"/>
                <w:szCs w:val="20"/>
              </w:rPr>
              <w:t xml:space="preserve">0</w:t>
            </w:r>
          </w:p>
        </w:tc>
        <w:tc>
          <w:tcPr>
            <w:tcW w:type="dxa" w:w="1800"/>
            <w:tcMar>
              <w:top w:type="dxa" w:w="60"/>
              <w:left w:type="dxa" w:w="100"/>
              <w:bottom w:type="dxa" w:w="60"/>
              <w:right w:type="dxa" w:w="100"/>
            </w:tcMar>
          </w:tcPr>
          <w:p>
            <w:r>
              <w:rPr>
                <w:b w:val="false"/>
                <w:bCs w:val="false"/>
                <w:color w:val="000000"/>
                <w:sz w:val="20"/>
                <w:szCs w:val="20"/>
              </w:rPr>
              <w:t xml:space="preserve">0</w:t>
            </w:r>
          </w:p>
        </w:tc>
        <w:tc>
          <w:tcPr>
            <w:tcW w:type="dxa" w:w="1800"/>
            <w:tcMar>
              <w:top w:type="dxa" w:w="60"/>
              <w:left w:type="dxa" w:w="100"/>
              <w:bottom w:type="dxa" w:w="60"/>
              <w:right w:type="dxa" w:w="100"/>
            </w:tcMar>
          </w:tcPr>
          <w:p>
            <w:r>
              <w:rPr>
                <w:b w:val="false"/>
                <w:bCs w:val="false"/>
                <w:color w:val="000000"/>
                <w:sz w:val="20"/>
                <w:szCs w:val="20"/>
              </w:rPr>
              <w:t xml:space="preserve">0,0 %</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3864" w:val="clear"/>
            <w:tcMar>
              <w:top w:type="dxa" w:w="60"/>
              <w:left w:type="dxa" w:w="100"/>
              <w:bottom w:type="dxa" w:w="60"/>
              <w:right w:type="dxa" w:w="100"/>
            </w:tcMar>
          </w:tcPr>
          <w:p>
            <w:r>
              <w:rPr>
                <w:b/>
                <w:bCs/>
                <w:color w:val="FFFFFF"/>
                <w:sz w:val="20"/>
                <w:szCs w:val="20"/>
              </w:rPr>
              <w:t xml:space="preserve">Indicateur</w:t>
            </w:r>
          </w:p>
        </w:tc>
        <w:tc>
          <w:tcPr>
            <w:tcW w:type="dxa" w:w="4500"/>
            <w:shd w:fill="1F3864" w:val="clear"/>
            <w:tcMar>
              <w:top w:type="dxa" w:w="60"/>
              <w:left w:type="dxa" w:w="100"/>
              <w:bottom w:type="dxa" w:w="60"/>
              <w:right w:type="dxa" w:w="100"/>
            </w:tcMar>
          </w:tcPr>
          <w:p>
            <w:r>
              <w:rPr>
                <w:b/>
                <w:bCs/>
                <w:color w:val="FFFFFF"/>
                <w:sz w:val="20"/>
                <w:szCs w:val="20"/>
              </w:rPr>
              <w:t xml:space="preserve">Valeur</w:t>
            </w:r>
          </w:p>
        </w:tc>
      </w:tr>
      <w:tr>
        <w:tc>
          <w:tcPr>
            <w:tcW w:type="dxa" w:w="4500"/>
            <w:tcMar>
              <w:top w:type="dxa" w:w="60"/>
              <w:left w:type="dxa" w:w="100"/>
              <w:bottom w:type="dxa" w:w="60"/>
              <w:right w:type="dxa" w:w="100"/>
            </w:tcMar>
          </w:tcPr>
          <w:p>
            <w:r>
              <w:rPr>
                <w:b w:val="false"/>
                <w:bCs w:val="false"/>
                <w:color w:val="000000"/>
                <w:sz w:val="20"/>
                <w:szCs w:val="20"/>
              </w:rPr>
              <w:t xml:space="preserve">Pixels communs SBAS/ISBAS</w:t>
            </w:r>
          </w:p>
        </w:tc>
        <w:tc>
          <w:tcPr>
            <w:tcW w:type="dxa" w:w="4500"/>
            <w:tcMar>
              <w:top w:type="dxa" w:w="60"/>
              <w:left w:type="dxa" w:w="100"/>
              <w:bottom w:type="dxa" w:w="60"/>
              <w:right w:type="dxa" w:w="100"/>
            </w:tcMar>
          </w:tcPr>
          <w:p>
            <w:r>
              <w:rPr>
                <w:b w:val="false"/>
                <w:bCs w:val="false"/>
                <w:color w:val="000000"/>
                <w:sz w:val="20"/>
                <w:szCs w:val="20"/>
              </w:rPr>
              <w:t xml:space="preserve">179</w:t>
            </w:r>
          </w:p>
        </w:tc>
      </w:tr>
      <w:tr>
        <w:tc>
          <w:tcPr>
            <w:tcW w:type="dxa" w:w="4500"/>
            <w:tcMar>
              <w:top w:type="dxa" w:w="60"/>
              <w:left w:type="dxa" w:w="100"/>
              <w:bottom w:type="dxa" w:w="60"/>
              <w:right w:type="dxa" w:w="100"/>
            </w:tcMar>
          </w:tcPr>
          <w:p>
            <w:r>
              <w:rPr>
                <w:b w:val="false"/>
                <w:bCs w:val="false"/>
                <w:color w:val="000000"/>
                <w:sz w:val="20"/>
                <w:szCs w:val="20"/>
              </w:rPr>
              <w:t xml:space="preserve">Biais moyen (ISBAS − SBAS)</w:t>
            </w:r>
          </w:p>
        </w:tc>
        <w:tc>
          <w:tcPr>
            <w:tcW w:type="dxa" w:w="4500"/>
            <w:tcMar>
              <w:top w:type="dxa" w:w="60"/>
              <w:left w:type="dxa" w:w="100"/>
              <w:bottom w:type="dxa" w:w="60"/>
              <w:right w:type="dxa" w:w="100"/>
            </w:tcMar>
          </w:tcPr>
          <w:p>
            <w:r>
              <w:rPr>
                <w:b w:val="false"/>
                <w:bCs w:val="false"/>
                <w:color w:val="000000"/>
                <w:sz w:val="20"/>
                <w:szCs w:val="20"/>
              </w:rPr>
              <w:t xml:space="preserve">-13,87 mm/an</w:t>
            </w:r>
          </w:p>
        </w:tc>
      </w:tr>
      <w:tr>
        <w:tc>
          <w:tcPr>
            <w:tcW w:type="dxa" w:w="4500"/>
            <w:tcMar>
              <w:top w:type="dxa" w:w="60"/>
              <w:left w:type="dxa" w:w="100"/>
              <w:bottom w:type="dxa" w:w="60"/>
              <w:right w:type="dxa" w:w="100"/>
            </w:tcMar>
          </w:tcPr>
          <w:p>
            <w:r>
              <w:rPr>
                <w:b w:val="false"/>
                <w:bCs w:val="false"/>
                <w:color w:val="000000"/>
                <w:sz w:val="20"/>
                <w:szCs w:val="20"/>
              </w:rPr>
              <w:t xml:space="preserve">RMSE</w:t>
            </w:r>
          </w:p>
        </w:tc>
        <w:tc>
          <w:tcPr>
            <w:tcW w:type="dxa" w:w="4500"/>
            <w:tcMar>
              <w:top w:type="dxa" w:w="60"/>
              <w:left w:type="dxa" w:w="100"/>
              <w:bottom w:type="dxa" w:w="60"/>
              <w:right w:type="dxa" w:w="100"/>
            </w:tcMar>
          </w:tcPr>
          <w:p>
            <w:r>
              <w:rPr>
                <w:b w:val="false"/>
                <w:bCs w:val="false"/>
                <w:color w:val="000000"/>
                <w:sz w:val="20"/>
                <w:szCs w:val="20"/>
              </w:rPr>
              <w:t xml:space="preserve">19,36 mm/an</w:t>
            </w:r>
          </w:p>
        </w:tc>
      </w:tr>
      <w:tr>
        <w:tc>
          <w:tcPr>
            <w:tcW w:type="dxa" w:w="4500"/>
            <w:tcMar>
              <w:top w:type="dxa" w:w="60"/>
              <w:left w:type="dxa" w:w="100"/>
              <w:bottom w:type="dxa" w:w="60"/>
              <w:right w:type="dxa" w:w="100"/>
            </w:tcMar>
          </w:tcPr>
          <w:p>
            <w:r>
              <w:rPr>
                <w:b w:val="false"/>
                <w:bCs w:val="false"/>
                <w:color w:val="000000"/>
                <w:sz w:val="20"/>
                <w:szCs w:val="20"/>
              </w:rPr>
              <w:t xml:space="preserve">Corrélation de Pearson</w:t>
            </w:r>
          </w:p>
        </w:tc>
        <w:tc>
          <w:tcPr>
            <w:tcW w:type="dxa" w:w="4500"/>
            <w:tcMar>
              <w:top w:type="dxa" w:w="60"/>
              <w:left w:type="dxa" w:w="100"/>
              <w:bottom w:type="dxa" w:w="60"/>
              <w:right w:type="dxa" w:w="100"/>
            </w:tcMar>
          </w:tcPr>
          <w:p>
            <w:r>
              <w:rPr>
                <w:b w:val="false"/>
                <w:bCs w:val="false"/>
                <w:color w:val="000000"/>
                <w:sz w:val="20"/>
                <w:szCs w:val="20"/>
              </w:rPr>
              <w:t xml:space="preserve">0,148 (faible)</w:t>
            </w:r>
          </w:p>
        </w:tc>
      </w:tr>
      <w:tr>
        <w:tc>
          <w:tcPr>
            <w:tcW w:type="dxa" w:w="4500"/>
            <w:tcMar>
              <w:top w:type="dxa" w:w="60"/>
              <w:left w:type="dxa" w:w="100"/>
              <w:bottom w:type="dxa" w:w="60"/>
              <w:right w:type="dxa" w:w="100"/>
            </w:tcMar>
          </w:tcPr>
          <w:p>
            <w:r>
              <w:rPr>
                <w:b w:val="false"/>
                <w:bCs w:val="false"/>
                <w:color w:val="000000"/>
                <w:sz w:val="20"/>
                <w:szCs w:val="20"/>
              </w:rPr>
              <w:t xml:space="preserve">Continuité spatiale (médiane |Δ voisin|)</w:t>
            </w:r>
          </w:p>
        </w:tc>
        <w:tc>
          <w:tcPr>
            <w:tcW w:type="dxa" w:w="4500"/>
            <w:tcMar>
              <w:top w:type="dxa" w:w="60"/>
              <w:left w:type="dxa" w:w="100"/>
              <w:bottom w:type="dxa" w:w="60"/>
              <w:right w:type="dxa" w:w="100"/>
            </w:tcMar>
          </w:tcPr>
          <w:p>
            <w:r>
              <w:rPr>
                <w:b w:val="false"/>
                <w:bCs w:val="false"/>
                <w:color w:val="000000"/>
                <w:sz w:val="20"/>
                <w:szCs w:val="20"/>
              </w:rPr>
              <w:t xml:space="preserve">SBAS 8,81 / ISBAS 10,33 mm/an</w:t>
            </w:r>
          </w:p>
        </w:tc>
      </w:tr>
      <w:tr>
        <w:tc>
          <w:tcPr>
            <w:tcW w:type="dxa" w:w="4500"/>
            <w:tcMar>
              <w:top w:type="dxa" w:w="60"/>
              <w:left w:type="dxa" w:w="100"/>
              <w:bottom w:type="dxa" w:w="60"/>
              <w:right w:type="dxa" w:w="100"/>
            </w:tcMar>
          </w:tcPr>
          <w:p>
            <w:r>
              <w:rPr>
                <w:b w:val="false"/>
                <w:bCs w:val="false"/>
                <w:color w:val="000000"/>
                <w:sz w:val="20"/>
                <w:szCs w:val="20"/>
              </w:rPr>
              <w:t xml:space="preserve">Pixels "sauvés" par l'ISBAS</w:t>
            </w:r>
          </w:p>
        </w:tc>
        <w:tc>
          <w:tcPr>
            <w:tcW w:type="dxa" w:w="4500"/>
            <w:tcMar>
              <w:top w:type="dxa" w:w="60"/>
              <w:left w:type="dxa" w:w="100"/>
              <w:bottom w:type="dxa" w:w="60"/>
              <w:right w:type="dxa" w:w="100"/>
            </w:tcMar>
          </w:tcPr>
          <w:p>
            <w:r>
              <w:rPr>
                <w:b w:val="false"/>
                <w:bCs w:val="false"/>
                <w:color w:val="000000"/>
                <w:sz w:val="20"/>
                <w:szCs w:val="20"/>
              </w:rPr>
              <w:t xml:space="preserve">13 861</w:t>
            </w:r>
          </w:p>
        </w:tc>
      </w:tr>
      <w:tr>
        <w:tc>
          <w:tcPr>
            <w:tcW w:type="dxa" w:w="4500"/>
            <w:tcMar>
              <w:top w:type="dxa" w:w="60"/>
              <w:left w:type="dxa" w:w="100"/>
              <w:bottom w:type="dxa" w:w="60"/>
              <w:right w:type="dxa" w:w="100"/>
            </w:tcMar>
          </w:tcPr>
          <w:p>
            <w:r>
              <w:rPr>
                <w:b w:val="false"/>
                <w:bCs w:val="false"/>
                <w:color w:val="000000"/>
                <w:sz w:val="20"/>
                <w:szCs w:val="20"/>
              </w:rPr>
              <w:t xml:space="preserve">Fermeture de triplets — pixels sauvés</w:t>
            </w:r>
          </w:p>
        </w:tc>
        <w:tc>
          <w:tcPr>
            <w:tcW w:type="dxa" w:w="4500"/>
            <w:tcMar>
              <w:top w:type="dxa" w:w="60"/>
              <w:left w:type="dxa" w:w="100"/>
              <w:bottom w:type="dxa" w:w="60"/>
              <w:right w:type="dxa" w:w="100"/>
            </w:tcMar>
          </w:tcPr>
          <w:p>
            <w:r>
              <w:rPr>
                <w:b w:val="false"/>
                <w:bCs w:val="false"/>
                <w:color w:val="000000"/>
                <w:sz w:val="20"/>
                <w:szCs w:val="20"/>
              </w:rPr>
              <w:t xml:space="preserve">0,375</w:t>
            </w:r>
          </w:p>
        </w:tc>
      </w:tr>
      <w:tr>
        <w:tc>
          <w:tcPr>
            <w:tcW w:type="dxa" w:w="4500"/>
            <w:tcMar>
              <w:top w:type="dxa" w:w="60"/>
              <w:left w:type="dxa" w:w="100"/>
              <w:bottom w:type="dxa" w:w="60"/>
              <w:right w:type="dxa" w:w="100"/>
            </w:tcMar>
          </w:tcPr>
          <w:p>
            <w:r>
              <w:rPr>
                <w:b w:val="false"/>
                <w:bCs w:val="false"/>
                <w:color w:val="000000"/>
                <w:sz w:val="20"/>
                <w:szCs w:val="20"/>
              </w:rPr>
              <w:t xml:space="preserve">Fermeture de triplets — pixels communs SBAS</w:t>
            </w:r>
          </w:p>
        </w:tc>
        <w:tc>
          <w:tcPr>
            <w:tcW w:type="dxa" w:w="4500"/>
            <w:tcMar>
              <w:top w:type="dxa" w:w="60"/>
              <w:left w:type="dxa" w:w="100"/>
              <w:bottom w:type="dxa" w:w="60"/>
              <w:right w:type="dxa" w:w="100"/>
            </w:tcMar>
          </w:tcPr>
          <w:p>
            <w:r>
              <w:rPr>
                <w:b w:val="false"/>
                <w:bCs w:val="false"/>
                <w:color w:val="000000"/>
                <w:sz w:val="20"/>
                <w:szCs w:val="20"/>
              </w:rPr>
              <w:t xml:space="preserve">0,316</w:t>
            </w:r>
          </w:p>
        </w:tc>
      </w:tr>
    </w:tbl>
    <w:p>
      <w:pPr>
        <w:spacing w:after="120"/>
      </w:pPr>
      <w:r>
        <w:t xml:space="preserve">Interprétation : la corrélation faible (0,148) entre SBAS et ISBAS sur les pixels communs, combinée à la dégradation modérée (mais réelle) de la fermeture de triplets sur les pixels sauvés (+19 % relatif), indique que les valeurs ISBAS brutes nécessitent un filtrage qualité (par fermeture de triplets ou indice W_i) avant exploitation finale — et non un rejet en bloc. Le gain de couverture (77×) reste le résultat central et robuste de la comparaison.</w:t>
      </w:r>
    </w:p>
    <w:p>
      <w:pPr>
        <w:pStyle w:val="Heading1"/>
        <w:spacing w:after="200" w:before="400"/>
      </w:pPr>
      <w:r>
        <w:t xml:space="preserve">10. Phase 15 — Validation croisée par paires annuelles</w:t>
      </w:r>
    </w:p>
    <w:p>
      <w:pPr>
        <w:spacing w:after="120"/>
      </w:pPr>
      <w:r>
        <w:t xml:space="preserve">Approche complémentaire, ajoutée en cours de projet après analyse d'un article publié (Ghezelayagh et al., 2024, Ecological Indicators 166:112305) sur la tourbière de Biebrza (Pologne), qui mesure la subsidence par InSAR en comparant le même mois d'années différentes plutôt qu'un réseau SBAS dense — évitant ainsi la décorrélation saisonnière et les contraintes de réseau qui ont bloqué la Phase 8.</w:t>
      </w:r>
    </w:p>
    <w:p>
      <w:pPr>
        <w:pStyle w:val="Heading2"/>
        <w:spacing w:after="150" w:before="300"/>
      </w:pPr>
      <w:r>
        <w:t xml:space="preserve">10.1 Différences méthodologiques identifiées avec l'article source</w:t>
      </w:r>
    </w:p>
    <w:p>
      <w:pPr>
        <w:pStyle w:val="ListParagraph"/>
        <w:numPr>
          <w:ilvl w:val="0"/>
          <w:numId w:val="1"/>
        </w:numPr>
        <w:spacing w:after="60"/>
      </w:pPr>
      <w:r>
        <w:t xml:space="preserve">Ghezelayagh et al. : 7 paires annuelles sur 7 ans, traitement GAMMA (frame complète, avec masque d'eau et composantes connexes natifs), aucune inversion de réseau — chaque paire traitée indépendamment.</w:t>
      </w:r>
    </w:p>
    <w:p>
      <w:pPr>
        <w:pStyle w:val="ListParagraph"/>
        <w:numPr>
          <w:ilvl w:val="0"/>
          <w:numId w:val="1"/>
        </w:numPr>
        <w:spacing w:after="60"/>
      </w:pPr>
      <w:r>
        <w:t xml:space="preserve">Notre site : 90 ha contre 96 610 ha pour Biebrza — aucune possibilité de moyennage spatial à grande échelle du bruit atmosphérique turbulent.</w:t>
      </w:r>
    </w:p>
    <w:p>
      <w:pPr>
        <w:pStyle w:val="ListParagraph"/>
        <w:numPr>
          <w:ilvl w:val="0"/>
          <w:numId w:val="1"/>
        </w:numPr>
        <w:spacing w:after="60"/>
      </w:pPr>
      <w:r>
        <w:t xml:space="preserve">Notre historique de données : seulement 3 ans (2022–2024) disponibles → 2 intervalles annuels indépendants (2022–23, 2023–24) plus un intervalle de contrôle à 2 ans, contre 7 intervalles indépendants dans l'article.</w:t>
      </w:r>
    </w:p>
    <w:p>
      <w:pPr>
        <w:pStyle w:val="Heading2"/>
        <w:spacing w:after="150" w:before="300"/>
      </w:pPr>
      <w:r>
        <w:t xml:space="preserve">10.2 Résultats et diagnostics successifs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F3864" w:val="clear"/>
            <w:tcMar>
              <w:top w:type="dxa" w:w="60"/>
              <w:left w:type="dxa" w:w="100"/>
              <w:bottom w:type="dxa" w:w="60"/>
              <w:right w:type="dxa" w:w="100"/>
            </w:tcMar>
          </w:tcPr>
          <w:p>
            <w:r>
              <w:rPr>
                <w:b/>
                <w:bCs/>
                <w:color w:val="FFFFFF"/>
                <w:sz w:val="20"/>
                <w:szCs w:val="20"/>
              </w:rPr>
              <w:t xml:space="preserve">Étape</w:t>
            </w:r>
          </w:p>
        </w:tc>
        <w:tc>
          <w:tcPr>
            <w:tcW w:type="dxa" w:w="2250"/>
            <w:shd w:fill="1F3864" w:val="clear"/>
            <w:tcMar>
              <w:top w:type="dxa" w:w="60"/>
              <w:left w:type="dxa" w:w="100"/>
              <w:bottom w:type="dxa" w:w="60"/>
              <w:right w:type="dxa" w:w="100"/>
            </w:tcMar>
          </w:tcPr>
          <w:p>
            <w:r>
              <w:rPr>
                <w:b/>
                <w:bCs/>
                <w:color w:val="FFFFFF"/>
                <w:sz w:val="20"/>
                <w:szCs w:val="20"/>
              </w:rPr>
              <w:t xml:space="preserve">Observation</w:t>
            </w:r>
          </w:p>
        </w:tc>
        <w:tc>
          <w:tcPr>
            <w:tcW w:type="dxa" w:w="2250"/>
            <w:shd w:fill="1F3864" w:val="clear"/>
            <w:tcMar>
              <w:top w:type="dxa" w:w="60"/>
              <w:left w:type="dxa" w:w="100"/>
              <w:bottom w:type="dxa" w:w="60"/>
              <w:right w:type="dxa" w:w="100"/>
            </w:tcMar>
          </w:tcPr>
          <w:p>
            <w:r>
              <w:rPr>
                <w:b/>
                <w:bCs/>
                <w:color w:val="FFFFFF"/>
                <w:sz w:val="20"/>
                <w:szCs w:val="20"/>
              </w:rPr>
              <w:t xml:space="preserve">Diagnostic</w:t>
            </w:r>
          </w:p>
        </w:tc>
        <w:tc>
          <w:tcPr>
            <w:tcW w:type="dxa" w:w="2250"/>
            <w:shd w:fill="1F3864" w:val="clear"/>
            <w:tcMar>
              <w:top w:type="dxa" w:w="60"/>
              <w:left w:type="dxa" w:w="100"/>
              <w:bottom w:type="dxa" w:w="60"/>
              <w:right w:type="dxa" w:w="100"/>
            </w:tcMar>
          </w:tcPr>
          <w:p>
            <w:r>
              <w:rPr>
                <w:b/>
                <w:bCs/>
                <w:color w:val="FFFFFF"/>
                <w:sz w:val="20"/>
                <w:szCs w:val="20"/>
              </w:rPr>
              <w:t xml:space="preserve">Correctif appliqué</w:t>
            </w:r>
          </w:p>
        </w:tc>
      </w:tr>
      <w:tr>
        <w:tc>
          <w:tcPr>
            <w:tcW w:type="dxa" w:w="2250"/>
            <w:tcMar>
              <w:top w:type="dxa" w:w="60"/>
              <w:left w:type="dxa" w:w="100"/>
              <w:bottom w:type="dxa" w:w="60"/>
              <w:right w:type="dxa" w:w="100"/>
            </w:tcMar>
          </w:tcPr>
          <w:p>
            <w:r>
              <w:rPr>
                <w:b w:val="false"/>
                <w:bCs w:val="false"/>
                <w:color w:val="000000"/>
                <w:sz w:val="20"/>
                <w:szCs w:val="20"/>
              </w:rPr>
              <w:t xml:space="preserve">Paires brutes (3)</w:t>
            </w:r>
          </w:p>
        </w:tc>
        <w:tc>
          <w:tcPr>
            <w:tcW w:type="dxa" w:w="2250"/>
            <w:tcMar>
              <w:top w:type="dxa" w:w="60"/>
              <w:left w:type="dxa" w:w="100"/>
              <w:bottom w:type="dxa" w:w="60"/>
              <w:right w:type="dxa" w:w="100"/>
            </w:tcMar>
          </w:tcPr>
          <w:p>
            <w:r>
              <w:rPr>
                <w:b w:val="false"/>
                <w:bCs w:val="false"/>
                <w:color w:val="000000"/>
                <w:sz w:val="20"/>
                <w:szCs w:val="20"/>
              </w:rPr>
              <w:t xml:space="preserve">Partage net en 2 blocs uniformes, signe qui s'inverse d'une année à l'autre (-24,2 puis +36,3 mm/an)</w:t>
            </w:r>
          </w:p>
        </w:tc>
        <w:tc>
          <w:tcPr>
            <w:tcW w:type="dxa" w:w="2250"/>
            <w:tcMar>
              <w:top w:type="dxa" w:w="60"/>
              <w:left w:type="dxa" w:w="100"/>
              <w:bottom w:type="dxa" w:w="60"/>
              <w:right w:type="dxa" w:w="100"/>
            </w:tcMar>
          </w:tcPr>
          <w:p>
            <w:r>
              <w:rPr>
                <w:b w:val="false"/>
                <w:bCs w:val="false"/>
                <w:color w:val="000000"/>
                <w:sz w:val="20"/>
                <w:szCs w:val="20"/>
              </w:rPr>
              <w:t xml:space="preserve">Saut de déroulement / bruit atmosphérique non corrigé sur paire isolée</w:t>
            </w:r>
          </w:p>
        </w:tc>
        <w:tc>
          <w:tcPr>
            <w:tcW w:type="dxa" w:w="2250"/>
            <w:tcMar>
              <w:top w:type="dxa" w:w="60"/>
              <w:left w:type="dxa" w:w="100"/>
              <w:bottom w:type="dxa" w:w="60"/>
              <w:right w:type="dxa" w:w="100"/>
            </w:tcMar>
          </w:tcPr>
          <w:p>
            <w:r>
              <w:rPr>
                <w:b w:val="false"/>
                <w:bCs w:val="false"/>
                <w:color w:val="000000"/>
                <w:sz w:val="20"/>
                <w:szCs w:val="20"/>
              </w:rPr>
              <w:t xml:space="preserve">Ajustement conjoint par moindres carrés (réutilisation du moteur ISBAS)</w:t>
            </w:r>
          </w:p>
        </w:tc>
      </w:tr>
      <w:tr>
        <w:tc>
          <w:tcPr>
            <w:tcW w:type="dxa" w:w="2250"/>
            <w:tcMar>
              <w:top w:type="dxa" w:w="60"/>
              <w:left w:type="dxa" w:w="100"/>
              <w:bottom w:type="dxa" w:w="60"/>
              <w:right w:type="dxa" w:w="100"/>
            </w:tcMar>
          </w:tcPr>
          <w:p>
            <w:r>
              <w:rPr>
                <w:b w:val="false"/>
                <w:bCs w:val="false"/>
                <w:color w:val="000000"/>
                <w:sz w:val="20"/>
                <w:szCs w:val="20"/>
              </w:rPr>
              <w:t xml:space="preserve">Après ajustement conjoint</w:t>
            </w:r>
          </w:p>
        </w:tc>
        <w:tc>
          <w:tcPr>
            <w:tcW w:type="dxa" w:w="2250"/>
            <w:tcMar>
              <w:top w:type="dxa" w:w="60"/>
              <w:left w:type="dxa" w:w="100"/>
              <w:bottom w:type="dxa" w:w="60"/>
              <w:right w:type="dxa" w:w="100"/>
            </w:tcMar>
          </w:tcPr>
          <w:p>
            <w:r>
              <w:rPr>
                <w:b w:val="false"/>
                <w:bCs w:val="false"/>
                <w:color w:val="000000"/>
                <w:sz w:val="20"/>
                <w:szCs w:val="20"/>
              </w:rPr>
              <w:t xml:space="preserve">Dégradé lisse nord-sud sur toute la grille, cœur +11,4 mm/an (signe contraire à l'attendu)</w:t>
            </w:r>
          </w:p>
        </w:tc>
        <w:tc>
          <w:tcPr>
            <w:tcW w:type="dxa" w:w="2250"/>
            <w:tcMar>
              <w:top w:type="dxa" w:w="60"/>
              <w:left w:type="dxa" w:w="100"/>
              <w:bottom w:type="dxa" w:w="60"/>
              <w:right w:type="dxa" w:w="100"/>
            </w:tcMar>
          </w:tcPr>
          <w:p>
            <w:r>
              <w:rPr>
                <w:b w:val="false"/>
                <w:bCs w:val="false"/>
                <w:color w:val="000000"/>
                <w:sz w:val="20"/>
                <w:szCs w:val="20"/>
              </w:rPr>
              <w:t xml:space="preserve">Rampe orbitale/atmosphérique résiduelle</w:t>
            </w:r>
          </w:p>
        </w:tc>
        <w:tc>
          <w:tcPr>
            <w:tcW w:type="dxa" w:w="2250"/>
            <w:tcMar>
              <w:top w:type="dxa" w:w="60"/>
              <w:left w:type="dxa" w:w="100"/>
              <w:bottom w:type="dxa" w:w="60"/>
              <w:right w:type="dxa" w:w="100"/>
            </w:tcMar>
          </w:tcPr>
          <w:p>
            <w:r>
              <w:rPr>
                <w:b w:val="false"/>
                <w:bCs w:val="false"/>
                <w:color w:val="000000"/>
                <w:sz w:val="20"/>
                <w:szCs w:val="20"/>
              </w:rPr>
              <w:t xml:space="preserve">Déramping (plan ajusté sur pixels stables hors AOI)</w:t>
            </w:r>
          </w:p>
        </w:tc>
      </w:tr>
      <w:tr>
        <w:tc>
          <w:tcPr>
            <w:tcW w:type="dxa" w:w="2250"/>
            <w:tcMar>
              <w:top w:type="dxa" w:w="60"/>
              <w:left w:type="dxa" w:w="100"/>
              <w:bottom w:type="dxa" w:w="60"/>
              <w:right w:type="dxa" w:w="100"/>
            </w:tcMar>
          </w:tcPr>
          <w:p>
            <w:r>
              <w:rPr>
                <w:b w:val="false"/>
                <w:bCs w:val="false"/>
                <w:color w:val="000000"/>
                <w:sz w:val="20"/>
                <w:szCs w:val="20"/>
              </w:rPr>
              <w:t xml:space="preserve">Résultat final</w:t>
            </w:r>
          </w:p>
        </w:tc>
        <w:tc>
          <w:tcPr>
            <w:tcW w:type="dxa" w:w="2250"/>
            <w:tcMar>
              <w:top w:type="dxa" w:w="60"/>
              <w:left w:type="dxa" w:w="100"/>
              <w:bottom w:type="dxa" w:w="60"/>
              <w:right w:type="dxa" w:w="100"/>
            </w:tcMar>
          </w:tcPr>
          <w:p>
            <w:r>
              <w:rPr>
                <w:b w:val="false"/>
                <w:bCs w:val="false"/>
                <w:color w:val="000000"/>
                <w:sz w:val="20"/>
                <w:szCs w:val="20"/>
              </w:rPr>
              <w:t xml:space="preserve">Médiane AOI -0,3 mm/an (p10 -8,8 / p90 +9,3), cœur +1,2 mm/an</w:t>
            </w:r>
          </w:p>
        </w:tc>
        <w:tc>
          <w:tcPr>
            <w:tcW w:type="dxa" w:w="2250"/>
            <w:tcMar>
              <w:top w:type="dxa" w:w="60"/>
              <w:left w:type="dxa" w:w="100"/>
              <w:bottom w:type="dxa" w:w="60"/>
              <w:right w:type="dxa" w:w="100"/>
            </w:tcMar>
          </w:tcPr>
          <w:p>
            <w:r>
              <w:rPr>
                <w:b w:val="false"/>
                <w:bCs w:val="false"/>
                <w:color w:val="000000"/>
                <w:sz w:val="20"/>
                <w:szCs w:val="20"/>
              </w:rPr>
              <w:t xml:space="preserve">Tendance quasi nulle, ne reproduit pas les -14,4 mm/an de la littérature</w:t>
            </w:r>
          </w:p>
        </w:tc>
        <w:tc>
          <w:tcPr>
            <w:tcW w:type="dxa" w:w="2250"/>
            <w:tcMar>
              <w:top w:type="dxa" w:w="60"/>
              <w:left w:type="dxa" w:w="100"/>
              <w:bottom w:type="dxa" w:w="60"/>
              <w:right w:type="dxa" w:w="100"/>
            </w:tcMar>
          </w:tcPr>
          <w:p>
            <w:r>
              <w:rPr>
                <w:b w:val="false"/>
                <w:bCs w:val="false"/>
                <w:color w:val="000000"/>
                <w:sz w:val="20"/>
                <w:szCs w:val="20"/>
              </w:rPr>
              <w:t xml:space="preserve">Aucun — résultat final documenté tel quel</w:t>
            </w:r>
          </w:p>
        </w:tc>
      </w:tr>
    </w:tbl>
    <w:p>
      <w:pPr>
        <w:pStyle w:val="Heading2"/>
        <w:spacing w:after="150" w:before="300"/>
      </w:pPr>
      <w:r>
        <w:t xml:space="preserve">10.3 Interprétation</w:t>
      </w:r>
    </w:p>
    <w:p>
      <w:pPr>
        <w:spacing w:after="120"/>
      </w:pPr>
      <w:r>
        <w:t xml:space="preserve">Deux lectures légitimes de ce résultat, toutes deux pertinentes pour la discussion de thèse :</w:t>
      </w:r>
    </w:p>
    <w:p>
      <w:pPr>
        <w:pStyle w:val="ListParagraph"/>
        <w:numPr>
          <w:ilvl w:val="0"/>
          <w:numId w:val="1"/>
        </w:numPr>
        <w:spacing w:after="60"/>
      </w:pPr>
      <w:r>
        <w:t xml:space="preserve">Différence de site réelle : Rzecin pourrait être hydrologiquement plus stable ou partiellement réhumidité, contrairement aux tourbières drainées et en dégradation active étudiées à Biebrza.</w:t>
      </w:r>
    </w:p>
    <w:p>
      <w:pPr>
        <w:pStyle w:val="ListParagraph"/>
        <w:numPr>
          <w:ilvl w:val="0"/>
          <w:numId w:val="1"/>
        </w:numPr>
        <w:spacing w:after="60"/>
      </w:pPr>
      <w:r>
        <w:t xml:space="preserve">Limite statistique structurelle : avec seulement 2 intervalles annuels indépendants (contre 7 dans l'article), le bruit atmosphérique turbulent — qui ne se corrige pas par un simple déramping planaire — n'est pas suffisamment moyenné pour détecter un signal de l'ordre de 10–20 mm/an de façon fiable.</w:t>
      </w:r>
    </w:p>
    <w:p>
      <w:pPr>
        <w:pBdr>
          <w:left w:val="single" w:color="2E7D6B" w:sz="12" w:space="8"/>
        </w:pBdr>
        <w:spacing w:after="200" w:before="100"/>
      </w:pPr>
      <w:r>
        <w:rPr>
          <w:i/>
          <w:iCs/>
          <w:color w:val="666666"/>
        </w:rPr>
        <w:t xml:space="preserve">Chaque étape de cette section a été validée par un test synthétique reproduisant le symptôme observé avant application au notebook (voir tests/test_synthetic_inversion.py et vérifications ponctuelles documentées dans l'historique Git).</w:t>
      </w:r>
    </w:p>
    <w:p>
      <w:pPr>
        <w:pStyle w:val="Heading1"/>
        <w:spacing w:after="200" w:before="400"/>
      </w:pPr>
      <w:r>
        <w:t xml:space="preserve">11. Synthèse et recommandations pour la suite</w:t>
      </w:r>
    </w:p>
    <w:p>
      <w:pPr>
        <w:pStyle w:val="Heading2"/>
        <w:spacing w:after="150" w:before="300"/>
      </w:pPr>
      <w:r>
        <w:t xml:space="preserve">11.1 Ce qui est acquis et solide</w:t>
      </w:r>
    </w:p>
    <w:p>
      <w:pPr>
        <w:pStyle w:val="ListParagraph"/>
        <w:numPr>
          <w:ilvl w:val="0"/>
          <w:numId w:val="1"/>
        </w:numPr>
        <w:spacing w:after="60"/>
      </w:pPr>
      <w:r>
        <w:t xml:space="preserve">Chaîne complète Phases 1 à 10 exécutée, validée et poussée sur GitHub, avec sorties reproductibles sur les branches outputs/phaseXX.</w:t>
      </w:r>
    </w:p>
    <w:p>
      <w:pPr>
        <w:pStyle w:val="ListParagraph"/>
        <w:numPr>
          <w:ilvl w:val="0"/>
          <w:numId w:val="1"/>
        </w:numPr>
        <w:spacing w:after="60"/>
      </w:pPr>
      <w:r>
        <w:t xml:space="preserve">Gain de couverture ISBAS vs SBAS (77×) chiffré et contrôlé qualité (fermeture de triplets) — résultat central défendable en soutenance.</w:t>
      </w:r>
    </w:p>
    <w:p>
      <w:pPr>
        <w:pStyle w:val="ListParagraph"/>
        <w:numPr>
          <w:ilvl w:val="0"/>
          <w:numId w:val="1"/>
        </w:numPr>
        <w:spacing w:after="60"/>
      </w:pPr>
      <w:r>
        <w:t xml:space="preserve">Formule d'indice de qualité W_i validée et son gain différentiel par classe quantifié — contribution conceptuelle originale du projet.</w:t>
      </w:r>
    </w:p>
    <w:p>
      <w:pPr>
        <w:pStyle w:val="ListParagraph"/>
        <w:numPr>
          <w:ilvl w:val="0"/>
          <w:numId w:val="1"/>
        </w:numPr>
        <w:spacing w:after="60"/>
      </w:pPr>
      <w:r>
        <w:t xml:space="preserve">Limitation physique du SBAS classique sur produits burst démontrée et documentée avec preuve directe ("0 région commune"), pas simplement supposée.</w:t>
      </w:r>
    </w:p>
    <w:p>
      <w:pPr>
        <w:pStyle w:val="Heading2"/>
        <w:spacing w:after="150" w:before="300"/>
      </w:pPr>
      <w:r>
        <w:t xml:space="preserve">11.2 Limites et travaux futurs identifiés</w:t>
      </w:r>
    </w:p>
    <w:p>
      <w:pPr>
        <w:pStyle w:val="ListParagraph"/>
        <w:numPr>
          <w:ilvl w:val="0"/>
          <w:numId w:val="1"/>
        </w:numPr>
        <w:spacing w:after="60"/>
      </w:pPr>
      <w:r>
        <w:t xml:space="preserve">Phase 11 (correction atmosphérique comparative ERA5/GACOS vs calibration locale) et Phase 12–14 (décomposition LOS→vertical, analyse hydrologique, produits finaux avec incertitudes) restent à exécuter sur la série ISBAS filtrée par qualité.</w:t>
      </w:r>
    </w:p>
    <w:p>
      <w:pPr>
        <w:pStyle w:val="ListParagraph"/>
        <w:numPr>
          <w:ilvl w:val="0"/>
          <w:numId w:val="1"/>
        </w:numPr>
        <w:spacing w:after="60"/>
      </w:pPr>
      <w:r>
        <w:t xml:space="preserve">Les valeurs ISBAS brutes nécessitent un filtrage par fermeture de triplets ou indice W_i avant exploitation en série temporelle finale (mm/an).</w:t>
      </w:r>
    </w:p>
    <w:p>
      <w:pPr>
        <w:pStyle w:val="ListParagraph"/>
        <w:numPr>
          <w:ilvl w:val="0"/>
          <w:numId w:val="1"/>
        </w:numPr>
        <w:spacing w:after="60"/>
      </w:pPr>
      <w:r>
        <w:t xml:space="preserve">La Phase 15 gagnerait à être réévaluée avec davantage d'années de données (2025+, quand disponibles) pour augmenter la redondance et se rapprocher de la méthodologie de l'article source.</w:t>
      </w:r>
    </w:p>
    <w:p>
      <w:pPr>
        <w:pStyle w:val="ListParagraph"/>
        <w:numPr>
          <w:ilvl w:val="0"/>
          <w:numId w:val="1"/>
        </w:numPr>
        <w:spacing w:after="60"/>
      </w:pPr>
      <w:r>
        <w:t xml:space="preserve">Envisager une correction atmosphérique par ERA5/GACOS sur les paires annuelles de la Phase 15, en complément du déramping planaire, pour traiter le bruit turbulent résiduel non capturé par un plan.</w:t>
      </w:r>
    </w:p>
    <w:p>
      <w:pPr>
        <w:pStyle w:val="Heading2"/>
        <w:spacing w:after="150" w:before="300"/>
      </w:pPr>
      <w:r>
        <w:t xml:space="preserve">11.3 Accès aux résultats</w:t>
      </w:r>
    </w:p>
    <w:p>
      <w:pPr>
        <w:spacing w:after="120"/>
      </w:pPr>
      <w:r>
        <w:t xml:space="preserve">Dépôt GitHub : AimenSayoud/SAr-adapted, branche de code claude/insar-wetlands-pipeline-mqd0qv. Sorties détaillées, figures et manifestes JSON disponibles sur les branches outputs/phase01 à outputs/phase10 et outputs/phase15.</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Pipeline InSAR — Tourbière de Rzecin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2026-07-17T16:17:44.783Z</dcterms:created>
  <dcterms:modified xsi:type="dcterms:W3CDTF">2026-07-17T16:17:44.783Z</dcterms:modified>
</cp:coreProperties>
</file>

<file path=docProps/custom.xml><?xml version="1.0" encoding="utf-8"?>
<Properties xmlns="http://schemas.openxmlformats.org/officeDocument/2006/custom-properties" xmlns:vt="http://schemas.openxmlformats.org/officeDocument/2006/docPropsVTypes"/>
</file>