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r>
        <w:rPr>
          <w:rFonts w:hint="eastAsia" w:ascii="Times New Roman" w:eastAsia="新宋体"/>
          <w:sz w:val="10"/>
          <w:lang w:eastAsia="zh-CN"/>
        </w:rPr>
        <w:drawing>
          <wp:inline distT="0" distB="0" distL="114300" distR="114300">
            <wp:extent cx="2065655" cy="593725"/>
            <wp:effectExtent l="0" t="0" r="10795" b="15875"/>
            <wp:docPr id="4" name="图片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7"/>
                    <a:stretch>
                      <a:fillRect/>
                    </a:stretch>
                  </pic:blipFill>
                  <pic:spPr>
                    <a:xfrm>
                      <a:off x="0" y="0"/>
                      <a:ext cx="2065655" cy="593725"/>
                    </a:xfrm>
                    <a:prstGeom prst="rect">
                      <a:avLst/>
                    </a:prstGeom>
                  </pic:spPr>
                </pic:pic>
              </a:graphicData>
            </a:graphic>
          </wp:inline>
        </w:drawing>
      </w:r>
    </w:p>
    <w:p>
      <w:pPr>
        <w:pStyle w:val="4"/>
        <w:spacing w:before="5"/>
        <w:rPr>
          <w:rFonts w:ascii="Times New Roman"/>
          <w:sz w:val="10"/>
        </w:rPr>
      </w:pPr>
    </w:p>
    <w:p>
      <w:pPr>
        <w:tabs>
          <w:tab w:val="left" w:pos="8838"/>
        </w:tabs>
        <w:spacing w:before="0" w:line="542" w:lineRule="exact"/>
        <w:ind w:right="0" w:firstLine="220" w:firstLineChars="100"/>
        <w:jc w:val="left"/>
        <w:rPr>
          <w:rFonts w:hint="default" w:ascii="微软雅黑" w:eastAsia="微软雅黑"/>
          <w:b/>
          <w:sz w:val="32"/>
          <w:lang w:val="en-US" w:eastAsia="zh-CN"/>
        </w:rPr>
      </w:pPr>
      <w:r>
        <w:pict>
          <v:line id="_x0000_s1026" o:spid="_x0000_s1026" o:spt="20" style="position:absolute;left:0pt;margin-left:0pt;margin-top:26.9pt;height:0pt;width:595.3pt;mso-position-horizontal-relative:page;z-index:251665408;mso-width-relative:page;mso-height-relative:page;" stroked="t" coordsize="21600,21600">
            <v:path arrowok="t"/>
            <v:fill focussize="0,0"/>
            <v:stroke weight="4pt" color="#365F91"/>
            <v:imagedata o:title=""/>
            <o:lock v:ext="edit"/>
          </v:line>
        </w:pict>
      </w:r>
      <w:r>
        <w:rPr>
          <w:rFonts w:hint="eastAsia" w:ascii="微软雅黑" w:eastAsia="微软雅黑"/>
          <w:b/>
          <w:color w:val="336699"/>
          <w:sz w:val="32"/>
        </w:rPr>
        <w:t>2020</w:t>
      </w:r>
      <w:r>
        <w:rPr>
          <w:rFonts w:hint="eastAsia" w:ascii="微软雅黑" w:eastAsia="微软雅黑"/>
          <w:b/>
          <w:color w:val="336699"/>
          <w:spacing w:val="-44"/>
          <w:sz w:val="32"/>
        </w:rPr>
        <w:t xml:space="preserve"> </w:t>
      </w:r>
      <w:r>
        <w:rPr>
          <w:rFonts w:hint="eastAsia" w:ascii="微软雅黑" w:eastAsia="微软雅黑"/>
          <w:b/>
          <w:color w:val="336699"/>
          <w:sz w:val="32"/>
        </w:rPr>
        <w:t>年</w:t>
      </w:r>
      <w:r>
        <w:rPr>
          <w:rFonts w:hint="eastAsia" w:ascii="微软雅黑" w:eastAsia="微软雅黑"/>
          <w:b/>
          <w:color w:val="336699"/>
          <w:spacing w:val="-44"/>
          <w:sz w:val="32"/>
        </w:rPr>
        <w:t xml:space="preserve"> </w:t>
      </w:r>
      <w:r>
        <w:rPr>
          <w:rFonts w:hint="eastAsia" w:ascii="微软雅黑" w:eastAsia="微软雅黑"/>
          <w:b/>
          <w:color w:val="336699"/>
          <w:spacing w:val="-44"/>
          <w:sz w:val="32"/>
          <w:lang w:val="en-US" w:eastAsia="zh-CN"/>
        </w:rPr>
        <w:t>11</w:t>
      </w:r>
      <w:r>
        <w:rPr>
          <w:rFonts w:hint="eastAsia" w:ascii="微软雅黑" w:eastAsia="微软雅黑"/>
          <w:b/>
          <w:color w:val="336699"/>
          <w:spacing w:val="-44"/>
          <w:sz w:val="32"/>
        </w:rPr>
        <w:t xml:space="preserve"> </w:t>
      </w:r>
      <w:r>
        <w:rPr>
          <w:rFonts w:hint="eastAsia" w:ascii="微软雅黑" w:eastAsia="微软雅黑"/>
          <w:b/>
          <w:color w:val="336699"/>
          <w:sz w:val="32"/>
        </w:rPr>
        <w:t>月</w:t>
      </w:r>
      <w:r>
        <w:rPr>
          <w:rFonts w:hint="eastAsia" w:ascii="微软雅黑" w:eastAsia="微软雅黑"/>
          <w:b/>
          <w:color w:val="336699"/>
          <w:spacing w:val="-44"/>
          <w:sz w:val="32"/>
        </w:rPr>
        <w:t xml:space="preserve"> </w:t>
      </w:r>
      <w:r>
        <w:rPr>
          <w:rFonts w:hint="eastAsia" w:ascii="微软雅黑" w:eastAsia="微软雅黑"/>
          <w:b/>
          <w:color w:val="336699"/>
          <w:sz w:val="32"/>
          <w:lang w:val="en-US" w:eastAsia="zh-CN"/>
        </w:rPr>
        <w:t>14</w:t>
      </w:r>
      <w:r>
        <w:rPr>
          <w:rFonts w:hint="eastAsia" w:ascii="微软雅黑" w:eastAsia="微软雅黑"/>
          <w:b/>
          <w:color w:val="336699"/>
          <w:sz w:val="32"/>
        </w:rPr>
        <w:t>日</w:t>
      </w:r>
      <w:r>
        <w:rPr>
          <w:rFonts w:hint="eastAsia" w:ascii="微软雅黑" w:eastAsia="微软雅黑"/>
          <w:b/>
          <w:color w:val="336699"/>
          <w:sz w:val="32"/>
        </w:rPr>
        <w:tab/>
      </w:r>
      <w:r>
        <w:rPr>
          <w:rFonts w:hint="eastAsia" w:ascii="微软雅黑" w:eastAsia="微软雅黑"/>
          <w:b/>
          <w:color w:val="336699"/>
          <w:sz w:val="32"/>
          <w:lang w:val="en-US" w:eastAsia="zh-CN"/>
        </w:rPr>
        <w:t xml:space="preserve">  氢能俱乐部</w:t>
      </w:r>
    </w:p>
    <w:p>
      <w:pPr>
        <w:spacing w:before="53"/>
        <w:ind w:left="4798" w:right="0" w:firstLine="0"/>
        <w:jc w:val="left"/>
        <w:rPr>
          <w:rFonts w:hint="eastAsia" w:ascii="微软雅黑" w:eastAsia="微软雅黑"/>
          <w:b/>
          <w:sz w:val="22"/>
        </w:rPr>
      </w:pPr>
    </w:p>
    <w:p>
      <w:pPr>
        <w:pStyle w:val="2"/>
        <w:spacing w:before="85"/>
        <w:jc w:val="center"/>
        <w:rPr>
          <w:rFonts w:hint="default" w:eastAsia="微软雅黑"/>
          <w:sz w:val="30"/>
          <w:szCs w:val="30"/>
          <w:lang w:val="en-US" w:eastAsia="zh-CN"/>
        </w:rPr>
      </w:pPr>
      <w:r>
        <w:pict>
          <v:group id="_x0000_s1027" o:spid="_x0000_s1027" o:spt="203" style="position:absolute;left:0pt;margin-left:20.25pt;margin-top:10.2pt;height:54.4pt;width:178pt;mso-position-horizontal-relative:page;z-index:251664384;mso-width-relative:page;mso-height-relative:page;" coordorigin="238,161" coordsize="3487,1125">
            <o:lock v:ext="edit" aspectratio="f"/>
            <v:rect id="_x0000_s1028" o:spid="_x0000_s1028" o:spt="1" style="position:absolute;left:238;top:160;height:1125;width:3487;" fillcolor="#1F487C" filled="t" stroked="f" coordsize="21600,21600">
              <v:path/>
              <v:fill on="t" color2="#FFFFFF" focussize="0,0"/>
              <v:stroke on="f"/>
              <v:imagedata o:title=""/>
              <o:lock v:ext="edit" aspectratio="f"/>
            </v:rect>
            <v:shape id="_x0000_s1029" o:spid="_x0000_s1029" o:spt="202" type="#_x0000_t202" style="position:absolute;left:238;top:160;height:1125;width:3487;" filled="f" stroked="f" coordsize="21600,21600">
              <v:path/>
              <v:fill on="f" focussize="0,0"/>
              <v:stroke on="f"/>
              <v:imagedata o:title=""/>
              <o:lock v:ext="edit" aspectratio="f"/>
              <v:textbox inset="0mm,0mm,0mm,0mm">
                <w:txbxContent>
                  <w:p>
                    <w:pPr>
                      <w:spacing w:before="115"/>
                      <w:ind w:right="0"/>
                      <w:jc w:val="center"/>
                      <w:rPr>
                        <w:rFonts w:hint="eastAsia" w:ascii="微软雅黑" w:eastAsia="微软雅黑"/>
                        <w:b/>
                        <w:sz w:val="44"/>
                      </w:rPr>
                    </w:pPr>
                    <w:r>
                      <w:rPr>
                        <w:rFonts w:hint="eastAsia" w:ascii="微软雅黑" w:eastAsia="微软雅黑"/>
                        <w:b/>
                        <w:color w:val="FFFFFF"/>
                        <w:sz w:val="44"/>
                        <w:lang w:val="en-US" w:eastAsia="zh-CN"/>
                      </w:rPr>
                      <w:t>氢能产业</w:t>
                    </w:r>
                    <w:r>
                      <w:rPr>
                        <w:rFonts w:hint="eastAsia" w:ascii="微软雅黑" w:eastAsia="微软雅黑"/>
                        <w:b/>
                        <w:color w:val="FFFFFF"/>
                        <w:sz w:val="44"/>
                      </w:rPr>
                      <w:t>周报</w:t>
                    </w:r>
                  </w:p>
                </w:txbxContent>
              </v:textbox>
            </v:shape>
          </v:group>
        </w:pict>
      </w:r>
      <w:r>
        <w:rPr>
          <w:rFonts w:hint="eastAsia"/>
          <w:lang w:val="en-US" w:eastAsia="zh-CN"/>
        </w:rPr>
        <w:t xml:space="preserve">                   周报观点：</w:t>
      </w:r>
      <w:r>
        <w:rPr>
          <w:rFonts w:hint="eastAsia" w:ascii="微软雅黑" w:eastAsia="微软雅黑"/>
          <w:b/>
          <w:sz w:val="30"/>
          <w:szCs w:val="30"/>
          <w:lang w:val="en-US" w:eastAsia="zh-CN"/>
        </w:rPr>
        <w:t>政策有望落地  关键技术有待突破</w:t>
      </w:r>
    </w:p>
    <w:p>
      <w:pPr>
        <w:pStyle w:val="4"/>
        <w:spacing w:before="12"/>
        <w:rPr>
          <w:rFonts w:ascii="微软雅黑"/>
          <w:b/>
          <w:sz w:val="12"/>
        </w:rPr>
      </w:pPr>
    </w:p>
    <w:p>
      <w:pPr>
        <w:spacing w:after="0"/>
        <w:rPr>
          <w:rFonts w:ascii="微软雅黑"/>
          <w:sz w:val="12"/>
        </w:rPr>
        <w:sectPr>
          <w:footerReference r:id="rId3" w:type="default"/>
          <w:type w:val="continuous"/>
          <w:pgSz w:w="11910" w:h="16840"/>
          <w:pgMar w:top="440" w:right="0" w:bottom="1260" w:left="120" w:header="720" w:footer="1079" w:gutter="0"/>
          <w:pgNumType w:start="1"/>
        </w:sectPr>
      </w:pPr>
      <w:r>
        <w:rPr>
          <w:sz w:val="24"/>
        </w:rPr>
        <w:pict>
          <v:shape id="_x0000_s3220" o:spid="_x0000_s3220" o:spt="202" type="#_x0000_t202" style="position:absolute;left:0pt;margin-left:209.85pt;margin-top:-10.05pt;height:361.75pt;width:350pt;z-index:243238912;mso-width-relative:page;mso-height-relative:page;" fillcolor="#FFFFFF" filled="t" stroked="f" coordsize="21600,21600">
            <v:path/>
            <v:fill on="t" color2="#FFFFFF" focussize="0,0"/>
            <v:stroke on="f"/>
            <v:imagedata o:title=""/>
            <o:lock v:ext="edit" aspectratio="f"/>
            <v:textbox>
              <w:txbxContent>
                <w:p>
                  <w:pPr>
                    <w:spacing w:before="53"/>
                    <w:ind w:right="0"/>
                    <w:jc w:val="left"/>
                    <w:rPr>
                      <w:rFonts w:hint="eastAsia" w:ascii="楷体" w:hAnsi="楷体" w:eastAsia="楷体" w:cs="楷体"/>
                      <w:i w:val="0"/>
                      <w:caps w:val="0"/>
                      <w:color w:val="auto"/>
                      <w:spacing w:val="8"/>
                      <w:sz w:val="32"/>
                      <w:szCs w:val="32"/>
                      <w:shd w:val="clear" w:fill="FFFFFF"/>
                    </w:rPr>
                  </w:pPr>
                  <w:r>
                    <w:rPr>
                      <w:rFonts w:hint="default" w:ascii="微软雅黑" w:eastAsia="微软雅黑"/>
                      <w:b/>
                      <w:sz w:val="22"/>
                      <w:lang w:val="en-US" w:eastAsia="zh-CN"/>
                    </w:rPr>
                    <w:drawing>
                      <wp:inline distT="0" distB="0" distL="114300" distR="114300">
                        <wp:extent cx="162560" cy="155575"/>
                        <wp:effectExtent l="0" t="0" r="8890" b="15875"/>
                        <wp:docPr id="2" name="图片 2" descr="微信截图_2020111414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01114142318"/>
                                <pic:cNvPicPr>
                                  <a:picLocks noChangeAspect="1"/>
                                </pic:cNvPicPr>
                              </pic:nvPicPr>
                              <pic:blipFill>
                                <a:blip r:embed="rId8"/>
                                <a:stretch>
                                  <a:fillRect/>
                                </a:stretch>
                              </pic:blipFill>
                              <pic:spPr>
                                <a:xfrm>
                                  <a:off x="0" y="0"/>
                                  <a:ext cx="162560" cy="155575"/>
                                </a:xfrm>
                                <a:prstGeom prst="rect">
                                  <a:avLst/>
                                </a:prstGeom>
                              </pic:spPr>
                            </pic:pic>
                          </a:graphicData>
                        </a:graphic>
                      </wp:inline>
                    </w:drawing>
                  </w:r>
                  <w:r>
                    <w:rPr>
                      <w:rFonts w:hint="eastAsia" w:ascii="楷体" w:hAnsi="楷体" w:eastAsia="楷体" w:cs="楷体"/>
                      <w:b w:val="0"/>
                      <w:bCs/>
                      <w:color w:val="auto"/>
                      <w:sz w:val="32"/>
                      <w:szCs w:val="32"/>
                      <w:lang w:val="en-US" w:eastAsia="zh-CN"/>
                    </w:rPr>
                    <w:t>上月</w:t>
                  </w:r>
                  <w:r>
                    <w:rPr>
                      <w:rFonts w:hint="eastAsia" w:ascii="楷体" w:hAnsi="楷体" w:eastAsia="楷体" w:cs="楷体"/>
                      <w:i w:val="0"/>
                      <w:caps w:val="0"/>
                      <w:color w:val="auto"/>
                      <w:spacing w:val="8"/>
                      <w:sz w:val="32"/>
                      <w:szCs w:val="32"/>
                      <w:shd w:val="clear" w:fill="FFFFFF"/>
                      <w:lang w:val="en-US" w:eastAsia="zh-CN"/>
                    </w:rPr>
                    <w:t>全国燃料电池汽车</w:t>
                  </w:r>
                  <w:r>
                    <w:rPr>
                      <w:rFonts w:hint="eastAsia" w:ascii="楷体" w:hAnsi="楷体" w:eastAsia="楷体" w:cs="楷体"/>
                      <w:i w:val="0"/>
                      <w:caps w:val="0"/>
                      <w:color w:val="auto"/>
                      <w:spacing w:val="8"/>
                      <w:sz w:val="32"/>
                      <w:szCs w:val="32"/>
                      <w:shd w:val="clear" w:fill="FFFFFF"/>
                    </w:rPr>
                    <w:t>产销分别完成77辆和79辆，同比分别增长1.3%和4.0%。1-10月，燃料电池汽车产销分别完成647辆和658辆，同比分别下降53.5%和50.4%。</w:t>
                  </w:r>
                  <w:r>
                    <w:rPr>
                      <w:rFonts w:hint="eastAsia" w:ascii="楷体" w:hAnsi="楷体" w:eastAsia="楷体" w:cs="楷体"/>
                      <w:i w:val="0"/>
                      <w:caps w:val="0"/>
                      <w:color w:val="auto"/>
                      <w:spacing w:val="8"/>
                      <w:sz w:val="32"/>
                      <w:szCs w:val="32"/>
                      <w:shd w:val="clear" w:fill="FFFFFF"/>
                      <w:lang w:val="en-US" w:eastAsia="zh-CN"/>
                    </w:rPr>
                    <w:t>主要还是因为受疫情影响，燃料电池汽车市场表现不尽人意。</w:t>
                  </w:r>
                  <w:r>
                    <w:rPr>
                      <w:rFonts w:hint="eastAsia" w:ascii="楷体" w:hAnsi="楷体" w:eastAsia="楷体" w:cs="楷体"/>
                      <w:i w:val="0"/>
                      <w:caps w:val="0"/>
                      <w:color w:val="auto"/>
                      <w:spacing w:val="8"/>
                      <w:sz w:val="32"/>
                      <w:szCs w:val="32"/>
                      <w:shd w:val="clear" w:fill="FFFFFF"/>
                    </w:rPr>
                    <w:t>今年4月，政府明确将推出“以奖代补”的政策，但相关细节尚未公布。相信在政策出台后，燃料电池产销将迎来一个高潮。</w:t>
                  </w:r>
                </w:p>
                <w:p>
                  <w:pPr>
                    <w:spacing w:before="53"/>
                    <w:ind w:right="0"/>
                    <w:jc w:val="left"/>
                    <w:rPr>
                      <w:rFonts w:hint="eastAsia" w:ascii="楷体" w:hAnsi="楷体" w:eastAsia="楷体" w:cs="楷体"/>
                      <w:i w:val="0"/>
                      <w:caps w:val="0"/>
                      <w:color w:val="auto"/>
                      <w:spacing w:val="8"/>
                      <w:sz w:val="24"/>
                      <w:szCs w:val="24"/>
                      <w:shd w:val="clear" w:fill="FFFFFF"/>
                    </w:rPr>
                  </w:pPr>
                </w:p>
                <w:p>
                  <w:pPr>
                    <w:spacing w:before="53"/>
                    <w:ind w:right="0"/>
                    <w:jc w:val="left"/>
                    <w:rPr>
                      <w:rFonts w:hint="eastAsia" w:ascii="楷体" w:hAnsi="楷体" w:eastAsia="楷体" w:cs="楷体"/>
                      <w:i w:val="0"/>
                      <w:caps w:val="0"/>
                      <w:color w:val="auto"/>
                      <w:spacing w:val="0"/>
                      <w:sz w:val="24"/>
                      <w:szCs w:val="24"/>
                      <w:shd w:val="clear" w:fill="FFFFFF"/>
                    </w:rPr>
                  </w:pPr>
                  <w:r>
                    <w:rPr>
                      <w:rFonts w:hint="default" w:ascii="微软雅黑" w:eastAsia="微软雅黑"/>
                      <w:b/>
                      <w:color w:val="auto"/>
                      <w:sz w:val="22"/>
                      <w:lang w:val="en-US" w:eastAsia="zh-CN"/>
                    </w:rPr>
                    <w:drawing>
                      <wp:inline distT="0" distB="0" distL="114300" distR="114300">
                        <wp:extent cx="162560" cy="155575"/>
                        <wp:effectExtent l="0" t="0" r="8890" b="15875"/>
                        <wp:docPr id="8" name="图片 8" descr="微信截图_2020111414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01114142318"/>
                                <pic:cNvPicPr>
                                  <a:picLocks noChangeAspect="1"/>
                                </pic:cNvPicPr>
                              </pic:nvPicPr>
                              <pic:blipFill>
                                <a:blip r:embed="rId8"/>
                                <a:stretch>
                                  <a:fillRect/>
                                </a:stretch>
                              </pic:blipFill>
                              <pic:spPr>
                                <a:xfrm>
                                  <a:off x="0" y="0"/>
                                  <a:ext cx="162560" cy="155575"/>
                                </a:xfrm>
                                <a:prstGeom prst="rect">
                                  <a:avLst/>
                                </a:prstGeom>
                              </pic:spPr>
                            </pic:pic>
                          </a:graphicData>
                        </a:graphic>
                      </wp:inline>
                    </w:drawing>
                  </w:r>
                  <w:r>
                    <w:rPr>
                      <w:rFonts w:hint="eastAsia" w:ascii="楷体" w:hAnsi="楷体" w:eastAsia="楷体" w:cs="楷体"/>
                      <w:b w:val="0"/>
                      <w:bCs/>
                      <w:color w:val="auto"/>
                      <w:sz w:val="32"/>
                      <w:szCs w:val="32"/>
                      <w:lang w:val="en-US" w:eastAsia="zh-CN"/>
                    </w:rPr>
                    <w:t>月初</w:t>
                  </w:r>
                  <w:r>
                    <w:rPr>
                      <w:rFonts w:hint="eastAsia" w:ascii="楷体" w:hAnsi="楷体" w:eastAsia="楷体" w:cs="楷体"/>
                      <w:b/>
                      <w:color w:val="auto"/>
                      <w:sz w:val="32"/>
                      <w:szCs w:val="32"/>
                      <w:lang w:val="en-US" w:eastAsia="zh-CN"/>
                    </w:rPr>
                    <w:t>，</w:t>
                  </w:r>
                  <w:r>
                    <w:rPr>
                      <w:rFonts w:hint="eastAsia" w:ascii="楷体" w:hAnsi="楷体" w:eastAsia="楷体" w:cs="楷体"/>
                      <w:i w:val="0"/>
                      <w:caps w:val="0"/>
                      <w:color w:val="auto"/>
                      <w:spacing w:val="0"/>
                      <w:sz w:val="32"/>
                      <w:szCs w:val="32"/>
                      <w:shd w:val="clear" w:fill="FFFFFF"/>
                    </w:rPr>
                    <w:t>国务院办公厅印发《新能源汽车产业发展规划（2021-2035年）》，要求推进加氢基础设施建设，引导企业根据氢燃料供给、消费需求等合理布局加氢基础设施，提升安全运行水平；探索建设氢燃料运输管道，逐步降低氢燃料储运成本。该项政策的推出，进一步加快了产业发展节奏，将为氢能源汽车生产企业及相关产业链带来一定投资机会。</w:t>
                  </w:r>
                </w:p>
                <w:p>
                  <w:pPr>
                    <w:rPr>
                      <w:color w:val="auto"/>
                      <w:sz w:val="10"/>
                      <w:szCs w:val="10"/>
                    </w:rPr>
                  </w:pPr>
                </w:p>
              </w:txbxContent>
            </v:textbox>
          </v:shape>
        </w:pict>
      </w:r>
    </w:p>
    <w:p>
      <w:pPr>
        <w:spacing w:before="172"/>
        <w:ind w:left="230" w:right="0" w:firstLine="0"/>
        <w:jc w:val="left"/>
        <w:rPr>
          <w:rFonts w:hint="eastAsia" w:ascii="微软雅黑" w:hAnsi="微软雅黑" w:eastAsia="微软雅黑"/>
          <w:b/>
          <w:color w:val="365F91"/>
          <w:spacing w:val="1"/>
          <w:w w:val="99"/>
          <w:sz w:val="20"/>
        </w:rPr>
      </w:pPr>
    </w:p>
    <w:p>
      <w:pPr>
        <w:spacing w:before="172"/>
        <w:ind w:left="230" w:right="0" w:firstLine="0"/>
        <w:jc w:val="left"/>
        <w:rPr>
          <w:rFonts w:hint="eastAsia" w:ascii="微软雅黑" w:hAnsi="微软雅黑" w:eastAsia="微软雅黑"/>
          <w:b/>
          <w:color w:val="365F91"/>
          <w:spacing w:val="1"/>
          <w:w w:val="99"/>
          <w:sz w:val="20"/>
        </w:rPr>
      </w:pPr>
    </w:p>
    <w:p>
      <w:pPr>
        <w:spacing w:before="99"/>
        <w:ind w:left="230" w:right="0" w:firstLine="0"/>
        <w:jc w:val="left"/>
        <w:rPr>
          <w:rFonts w:hint="eastAsia" w:ascii="微软雅黑" w:eastAsia="微软雅黑"/>
          <w:b/>
          <w:sz w:val="20"/>
        </w:rPr>
      </w:pPr>
      <w:r>
        <w:rPr>
          <w:sz w:val="18"/>
        </w:rPr>
        <w:pict>
          <v:shape id="_x0000_s3223" o:spid="_x0000_s3223" o:spt="202" type="#_x0000_t202" style="position:absolute;left:0pt;margin-left:6.4pt;margin-top:17.25pt;height:570.6pt;width:196.25pt;z-index:243238912;mso-width-relative:page;mso-height-relative:page;" fillcolor="#FFFFFF" filled="t" stroked="f" coordsize="21600,21600">
            <v:path/>
            <v:fill on="t" focussize="0,0"/>
            <v:stroke on="f"/>
            <v:imagedata o:title=""/>
            <o:lock v:ext="edit" aspectratio="f"/>
            <v:textbox>
              <w:txbxContent>
                <w:p>
                  <w:pPr>
                    <w:rPr>
                      <w:rFonts w:hint="eastAsia" w:eastAsia="新宋体"/>
                      <w:lang w:eastAsia="zh-CN"/>
                    </w:rPr>
                  </w:pPr>
                  <w:r>
                    <w:rPr>
                      <w:rFonts w:hint="eastAsia" w:eastAsia="新宋体"/>
                      <w:lang w:eastAsia="zh-CN"/>
                    </w:rPr>
                    <w:drawing>
                      <wp:inline distT="0" distB="0" distL="114300" distR="114300">
                        <wp:extent cx="2267585" cy="1149985"/>
                        <wp:effectExtent l="0" t="0" r="18415" b="12065"/>
                        <wp:docPr id="24" name="图片 24" descr="C:\Users\11936\Desktop\微信截图_20201114160608.png微信截图_202011141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11936\Desktop\微信截图_20201114160608.png微信截图_20201114160608"/>
                                <pic:cNvPicPr>
                                  <a:picLocks noChangeAspect="1"/>
                                </pic:cNvPicPr>
                              </pic:nvPicPr>
                              <pic:blipFill>
                                <a:blip r:embed="rId9"/>
                                <a:srcRect/>
                                <a:stretch>
                                  <a:fillRect/>
                                </a:stretch>
                              </pic:blipFill>
                              <pic:spPr>
                                <a:xfrm>
                                  <a:off x="0" y="0"/>
                                  <a:ext cx="2267585" cy="1149985"/>
                                </a:xfrm>
                                <a:prstGeom prst="rect">
                                  <a:avLst/>
                                </a:prstGeom>
                              </pic:spPr>
                            </pic:pic>
                          </a:graphicData>
                        </a:graphic>
                      </wp:inline>
                    </w:drawing>
                  </w:r>
                  <w:r>
                    <w:rPr>
                      <w:rFonts w:hint="eastAsia" w:eastAsia="新宋体"/>
                      <w:lang w:eastAsia="zh-CN"/>
                    </w:rPr>
                    <w:drawing>
                      <wp:inline distT="0" distB="0" distL="114300" distR="114300">
                        <wp:extent cx="2303780" cy="1734185"/>
                        <wp:effectExtent l="0" t="0" r="1270" b="18415"/>
                        <wp:docPr id="36" name="图片 36" descr="a820b1ad0fdaa348a1d855ca00db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820b1ad0fdaa348a1d855ca00db3dc"/>
                                <pic:cNvPicPr>
                                  <a:picLocks noChangeAspect="1"/>
                                </pic:cNvPicPr>
                              </pic:nvPicPr>
                              <pic:blipFill>
                                <a:blip r:embed="rId10"/>
                                <a:stretch>
                                  <a:fillRect/>
                                </a:stretch>
                              </pic:blipFill>
                              <pic:spPr>
                                <a:xfrm>
                                  <a:off x="0" y="0"/>
                                  <a:ext cx="2303780" cy="1734185"/>
                                </a:xfrm>
                                <a:prstGeom prst="rect">
                                  <a:avLst/>
                                </a:prstGeom>
                              </pic:spPr>
                            </pic:pic>
                          </a:graphicData>
                        </a:graphic>
                      </wp:inline>
                    </w:drawing>
                  </w:r>
                </w:p>
                <w:p>
                  <w:pPr>
                    <w:rPr>
                      <w:rFonts w:hint="eastAsia" w:eastAsia="新宋体"/>
                      <w:lang w:eastAsia="zh-CN"/>
                    </w:rPr>
                  </w:pPr>
                </w:p>
                <w:p>
                  <w:pPr>
                    <w:rPr>
                      <w:rFonts w:hint="eastAsia" w:eastAsia="新宋体"/>
                      <w:lang w:eastAsia="zh-CN"/>
                    </w:rPr>
                  </w:pPr>
                </w:p>
                <w:p>
                  <w:pPr>
                    <w:rPr>
                      <w:rFonts w:hint="eastAsia" w:eastAsia="新宋体"/>
                      <w:lang w:eastAsia="zh-CN"/>
                    </w:rPr>
                  </w:pPr>
                  <w:r>
                    <w:rPr>
                      <w:rFonts w:hint="eastAsia" w:eastAsia="新宋体"/>
                      <w:lang w:eastAsia="zh-CN"/>
                    </w:rPr>
                    <w:drawing>
                      <wp:inline distT="0" distB="0" distL="114300" distR="114300">
                        <wp:extent cx="2283460" cy="1123950"/>
                        <wp:effectExtent l="0" t="0" r="2540" b="0"/>
                        <wp:docPr id="28" name="图片 28" descr="C:\Users\11936\Desktop\微信截图_20201114155718.png微信截图_2020111415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11936\Desktop\微信截图_20201114155718.png微信截图_20201114155718"/>
                                <pic:cNvPicPr>
                                  <a:picLocks noChangeAspect="1"/>
                                </pic:cNvPicPr>
                              </pic:nvPicPr>
                              <pic:blipFill>
                                <a:blip r:embed="rId11"/>
                                <a:srcRect/>
                                <a:stretch>
                                  <a:fillRect/>
                                </a:stretch>
                              </pic:blipFill>
                              <pic:spPr>
                                <a:xfrm>
                                  <a:off x="0" y="0"/>
                                  <a:ext cx="2283460" cy="1123950"/>
                                </a:xfrm>
                                <a:prstGeom prst="rect">
                                  <a:avLst/>
                                </a:prstGeom>
                              </pic:spPr>
                            </pic:pic>
                          </a:graphicData>
                        </a:graphic>
                      </wp:inline>
                    </w:drawing>
                  </w:r>
                  <w:r>
                    <w:rPr>
                      <w:rFonts w:hint="eastAsia" w:eastAsia="新宋体"/>
                      <w:lang w:eastAsia="zh-CN"/>
                    </w:rPr>
                    <w:drawing>
                      <wp:inline distT="0" distB="0" distL="114300" distR="114300">
                        <wp:extent cx="2299335" cy="1587500"/>
                        <wp:effectExtent l="0" t="0" r="5715" b="12700"/>
                        <wp:docPr id="38" name="图片 38" descr="67e0100fe68c2b9e3d03722e8fdd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7e0100fe68c2b9e3d03722e8fdde5c"/>
                                <pic:cNvPicPr>
                                  <a:picLocks noChangeAspect="1"/>
                                </pic:cNvPicPr>
                              </pic:nvPicPr>
                              <pic:blipFill>
                                <a:blip r:embed="rId12"/>
                                <a:stretch>
                                  <a:fillRect/>
                                </a:stretch>
                              </pic:blipFill>
                              <pic:spPr>
                                <a:xfrm>
                                  <a:off x="0" y="0"/>
                                  <a:ext cx="2299335" cy="1587500"/>
                                </a:xfrm>
                                <a:prstGeom prst="rect">
                                  <a:avLst/>
                                </a:prstGeom>
                              </pic:spPr>
                            </pic:pic>
                          </a:graphicData>
                        </a:graphic>
                      </wp:inline>
                    </w:drawing>
                  </w:r>
                </w:p>
              </w:txbxContent>
            </v:textbox>
          </v:shape>
        </w:pict>
      </w:r>
    </w:p>
    <w:p>
      <w:pPr>
        <w:spacing w:before="100"/>
        <w:ind w:left="230" w:right="0" w:firstLine="0"/>
        <w:jc w:val="left"/>
        <w:rPr>
          <w:rFonts w:hint="eastAsia" w:ascii="微软雅黑" w:eastAsia="微软雅黑"/>
          <w:b/>
          <w:sz w:val="20"/>
        </w:rPr>
      </w:pPr>
      <w:r>
        <w:rPr>
          <w:rFonts w:hint="eastAsia" w:ascii="微软雅黑" w:eastAsia="微软雅黑"/>
          <w:b/>
          <w:color w:val="365F91"/>
          <w:sz w:val="20"/>
        </w:rPr>
        <w:t>评级变动： 维持评级</w:t>
      </w:r>
    </w:p>
    <w:p>
      <w:pPr>
        <w:pStyle w:val="4"/>
        <w:spacing w:before="1"/>
        <w:rPr>
          <w:rFonts w:ascii="微软雅黑"/>
          <w:b/>
          <w:sz w:val="14"/>
        </w:rPr>
      </w:pPr>
    </w:p>
    <w:p>
      <w:pPr>
        <w:spacing w:before="0"/>
        <w:ind w:left="354" w:right="0" w:firstLine="0"/>
        <w:jc w:val="left"/>
        <w:rPr>
          <w:rFonts w:ascii="Times New Roman"/>
          <w:color w:val="585858"/>
          <w:sz w:val="18"/>
        </w:rPr>
      </w:pPr>
    </w:p>
    <w:p>
      <w:pPr>
        <w:pStyle w:val="4"/>
        <w:rPr>
          <w:rFonts w:hint="eastAsia" w:ascii="Times New Roman" w:eastAsia="新宋体"/>
          <w:sz w:val="20"/>
          <w:lang w:eastAsia="zh-CN"/>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8"/>
        <w:rPr>
          <w:rFonts w:ascii="Times New Roman"/>
          <w:sz w:val="17"/>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0"/>
        <w:jc w:val="left"/>
        <w:rPr>
          <w:rFonts w:hint="eastAsia" w:ascii="微软雅黑" w:eastAsia="微软雅黑"/>
          <w:b/>
          <w:color w:val="365F91"/>
          <w:sz w:val="21"/>
        </w:rPr>
      </w:pPr>
    </w:p>
    <w:p>
      <w:pPr>
        <w:spacing w:before="1" w:line="510" w:lineRule="atLeast"/>
        <w:ind w:left="352" w:right="1297" w:firstLine="630" w:firstLineChars="300"/>
        <w:jc w:val="left"/>
        <w:rPr>
          <w:rFonts w:hint="eastAsia" w:ascii="微软雅黑" w:eastAsia="微软雅黑"/>
          <w:b/>
          <w:sz w:val="21"/>
        </w:rPr>
      </w:pPr>
      <w:r>
        <w:rPr>
          <w:rFonts w:hint="eastAsia" w:ascii="微软雅黑" w:eastAsia="微软雅黑"/>
          <w:b/>
          <w:color w:val="365F91"/>
          <w:sz w:val="21"/>
        </w:rPr>
        <w:t>长城国瑞证券研究所分析师：</w:t>
      </w:r>
    </w:p>
    <w:p>
      <w:pPr>
        <w:spacing w:before="0" w:line="253" w:lineRule="exact"/>
        <w:ind w:left="352" w:right="0" w:firstLine="210" w:firstLineChars="100"/>
        <w:jc w:val="left"/>
        <w:rPr>
          <w:rFonts w:hint="eastAsia" w:ascii="微软雅黑" w:eastAsia="微软雅黑"/>
          <w:b/>
          <w:sz w:val="21"/>
        </w:rPr>
      </w:pPr>
      <w:r>
        <w:rPr>
          <w:rFonts w:hint="eastAsia" w:ascii="微软雅黑" w:eastAsia="微软雅黑"/>
          <w:b/>
          <w:color w:val="365F91"/>
          <w:sz w:val="21"/>
        </w:rPr>
        <w:t>刘宾</w:t>
      </w:r>
    </w:p>
    <w:p>
      <w:pPr>
        <w:spacing w:before="0" w:line="184" w:lineRule="exact"/>
        <w:ind w:left="352" w:right="0" w:firstLine="220" w:firstLineChars="100"/>
        <w:jc w:val="left"/>
        <w:rPr>
          <w:rFonts w:ascii="Times New Roman"/>
          <w:b/>
          <w:sz w:val="21"/>
        </w:rPr>
      </w:pPr>
      <w:r>
        <w:fldChar w:fldCharType="begin"/>
      </w:r>
      <w:r>
        <w:instrText xml:space="preserve"> HYPERLINK "mailto:lb@gwgsc.com" \h </w:instrText>
      </w:r>
      <w:r>
        <w:fldChar w:fldCharType="separate"/>
      </w:r>
      <w:r>
        <w:rPr>
          <w:rFonts w:ascii="Times New Roman"/>
          <w:b/>
          <w:color w:val="365F91"/>
          <w:sz w:val="21"/>
        </w:rPr>
        <w:t>lb@gwgsc.com</w:t>
      </w:r>
      <w:r>
        <w:rPr>
          <w:rFonts w:ascii="Times New Roman"/>
          <w:b/>
          <w:color w:val="365F91"/>
          <w:sz w:val="21"/>
        </w:rPr>
        <w:fldChar w:fldCharType="end"/>
      </w:r>
    </w:p>
    <w:p>
      <w:pPr>
        <w:spacing w:before="0" w:line="354" w:lineRule="exact"/>
        <w:ind w:left="352" w:right="0" w:firstLine="210" w:firstLineChars="100"/>
        <w:jc w:val="left"/>
        <w:rPr>
          <w:rFonts w:ascii="Times New Roman" w:eastAsia="Times New Roman"/>
          <w:b/>
          <w:sz w:val="21"/>
        </w:rPr>
      </w:pPr>
      <w:r>
        <w:rPr>
          <w:rFonts w:hint="eastAsia" w:ascii="微软雅黑" w:eastAsia="微软雅黑"/>
          <w:b/>
          <w:color w:val="365F91"/>
          <w:sz w:val="21"/>
        </w:rPr>
        <w:t>执业证书编号：</w:t>
      </w:r>
      <w:r>
        <w:rPr>
          <w:rFonts w:ascii="Times New Roman" w:eastAsia="Times New Roman"/>
          <w:b/>
          <w:color w:val="365F91"/>
          <w:sz w:val="21"/>
        </w:rPr>
        <w:t>S0200514120001</w:t>
      </w:r>
    </w:p>
    <w:p>
      <w:pPr>
        <w:spacing w:before="126" w:line="329" w:lineRule="exact"/>
        <w:ind w:left="352" w:right="0" w:firstLine="210" w:firstLineChars="100"/>
        <w:jc w:val="left"/>
        <w:rPr>
          <w:rFonts w:ascii="Times New Roman" w:eastAsia="Times New Roman"/>
          <w:b/>
          <w:sz w:val="21"/>
        </w:rPr>
      </w:pPr>
      <w:r>
        <w:rPr>
          <w:rFonts w:hint="eastAsia" w:ascii="微软雅黑" w:eastAsia="微软雅黑"/>
          <w:b/>
          <w:color w:val="365F91"/>
          <w:sz w:val="21"/>
        </w:rPr>
        <w:t>联系电话：</w:t>
      </w:r>
      <w:r>
        <w:rPr>
          <w:rFonts w:ascii="Times New Roman" w:eastAsia="Times New Roman"/>
          <w:b/>
          <w:color w:val="365F91"/>
          <w:sz w:val="21"/>
        </w:rPr>
        <w:t>0592-5160876</w:t>
      </w:r>
    </w:p>
    <w:p>
      <w:pPr>
        <w:spacing w:before="0" w:line="272" w:lineRule="exact"/>
        <w:ind w:left="352" w:right="0" w:firstLine="210" w:firstLineChars="100"/>
        <w:jc w:val="left"/>
        <w:rPr>
          <w:rFonts w:hint="eastAsia" w:ascii="微软雅黑" w:eastAsia="微软雅黑"/>
          <w:b/>
          <w:sz w:val="21"/>
        </w:rPr>
      </w:pPr>
      <w:r>
        <w:rPr>
          <w:rFonts w:hint="eastAsia" w:ascii="微软雅黑" w:eastAsia="微软雅黑"/>
          <w:b/>
          <w:color w:val="365F91"/>
          <w:sz w:val="21"/>
        </w:rPr>
        <w:t xml:space="preserve">地址：厦门市思明区莲前西路 </w:t>
      </w:r>
      <w:r>
        <w:rPr>
          <w:rFonts w:ascii="Times New Roman" w:eastAsia="Times New Roman"/>
          <w:b/>
          <w:color w:val="365F91"/>
          <w:sz w:val="21"/>
        </w:rPr>
        <w:t xml:space="preserve">2 </w:t>
      </w:r>
      <w:r>
        <w:rPr>
          <w:rFonts w:hint="eastAsia" w:ascii="微软雅黑" w:eastAsia="微软雅黑"/>
          <w:b/>
          <w:color w:val="365F91"/>
          <w:sz w:val="21"/>
        </w:rPr>
        <w:t>号</w:t>
      </w:r>
    </w:p>
    <w:p>
      <w:pPr>
        <w:spacing w:before="0" w:line="330" w:lineRule="exact"/>
        <w:ind w:left="352" w:right="0" w:firstLine="210" w:firstLineChars="100"/>
        <w:jc w:val="left"/>
        <w:rPr>
          <w:rFonts w:hint="eastAsia" w:ascii="微软雅黑" w:eastAsia="微软雅黑"/>
          <w:b/>
          <w:sz w:val="21"/>
        </w:rPr>
      </w:pPr>
      <w:r>
        <w:rPr>
          <w:rFonts w:hint="eastAsia" w:ascii="微软雅黑" w:eastAsia="微软雅黑"/>
          <w:b/>
          <w:color w:val="365F91"/>
          <w:sz w:val="21"/>
        </w:rPr>
        <w:t xml:space="preserve">莲富大厦 </w:t>
      </w:r>
      <w:r>
        <w:rPr>
          <w:rFonts w:ascii="Times New Roman" w:eastAsia="Times New Roman"/>
          <w:b/>
          <w:color w:val="365F91"/>
          <w:sz w:val="21"/>
        </w:rPr>
        <w:t xml:space="preserve">17 </w:t>
      </w:r>
      <w:r>
        <w:rPr>
          <w:rFonts w:hint="eastAsia" w:ascii="微软雅黑" w:eastAsia="微软雅黑"/>
          <w:b/>
          <w:color w:val="365F91"/>
          <w:sz w:val="21"/>
        </w:rPr>
        <w:t>楼</w:t>
      </w:r>
    </w:p>
    <w:p>
      <w:pPr>
        <w:spacing w:before="129"/>
        <w:ind w:left="352" w:right="0" w:firstLine="210" w:firstLineChars="100"/>
        <w:jc w:val="left"/>
        <w:rPr>
          <w:rFonts w:hint="eastAsia" w:ascii="微软雅黑" w:eastAsia="微软雅黑"/>
          <w:b/>
          <w:sz w:val="21"/>
        </w:rPr>
      </w:pPr>
      <w:r>
        <w:rPr>
          <w:rFonts w:hint="eastAsia" w:ascii="微软雅黑" w:eastAsia="微软雅黑"/>
          <w:b/>
          <w:color w:val="365F91"/>
          <w:sz w:val="21"/>
        </w:rPr>
        <w:t>长城国瑞证券有限公司</w:t>
      </w:r>
    </w:p>
    <w:p>
      <w:pPr>
        <w:pStyle w:val="3"/>
        <w:spacing w:line="432" w:lineRule="exact"/>
        <w:ind w:left="230"/>
        <w:sectPr>
          <w:type w:val="continuous"/>
          <w:pgSz w:w="11910" w:h="16840"/>
          <w:pgMar w:top="440" w:right="0" w:bottom="1260" w:left="120" w:header="720" w:footer="720" w:gutter="0"/>
          <w:cols w:equalWidth="0" w:num="2">
            <w:col w:w="3552" w:space="164"/>
            <w:col w:w="8074"/>
          </w:cols>
        </w:sectPr>
      </w:pPr>
      <w:r>
        <w:rPr>
          <w:sz w:val="24"/>
        </w:rPr>
        <w:pict>
          <v:shape id="_x0000_s3224" o:spid="_x0000_s3224" o:spt="202" type="#_x0000_t202" style="position:absolute;left:0pt;margin-left:24.65pt;margin-top:185.35pt;height:277.35pt;width:344.3pt;z-index:243238912;mso-width-relative:page;mso-height-relative:page;" fillcolor="#FFFFFF" filled="t" stroked="t" coordsize="21600,21600">
            <v:path/>
            <v:fill on="t" color2="#FFFFFF" focussize="0,0"/>
            <v:stroke color="#FFFFFF" joinstyle="miter"/>
            <v:imagedata o:title=""/>
            <o:lock v:ext="edit" aspectratio="f"/>
            <v:textbox>
              <w:txbxContent>
                <w:p>
                  <w:pPr>
                    <w:spacing w:line="240" w:lineRule="auto"/>
                    <w:rPr>
                      <w:rFonts w:hint="default" w:ascii="微软雅黑" w:eastAsia="微软雅黑"/>
                      <w:b/>
                      <w:color w:val="auto"/>
                      <w:sz w:val="2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50" w:line="240" w:lineRule="auto"/>
                    <w:textAlignment w:val="auto"/>
                    <w:rPr>
                      <w:rFonts w:hint="eastAsia" w:ascii="楷体" w:hAnsi="楷体" w:eastAsia="楷体" w:cs="楷体"/>
                      <w:b w:val="0"/>
                      <w:bCs w:val="0"/>
                      <w:color w:val="auto"/>
                      <w:sz w:val="24"/>
                      <w:szCs w:val="24"/>
                      <w:lang w:val="en-US" w:eastAsia="zh-CN"/>
                    </w:rPr>
                  </w:pPr>
                  <w:r>
                    <w:rPr>
                      <w:rFonts w:hint="default" w:ascii="微软雅黑" w:eastAsia="微软雅黑"/>
                      <w:b/>
                      <w:color w:val="auto"/>
                      <w:sz w:val="22"/>
                      <w:lang w:val="en-US" w:eastAsia="zh-CN"/>
                    </w:rPr>
                    <w:drawing>
                      <wp:inline distT="0" distB="0" distL="114300" distR="114300">
                        <wp:extent cx="162560" cy="155575"/>
                        <wp:effectExtent l="0" t="0" r="8890" b="15875"/>
                        <wp:docPr id="32" name="图片 32" descr="微信截图_2020111414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201114142318"/>
                                <pic:cNvPicPr>
                                  <a:picLocks noChangeAspect="1"/>
                                </pic:cNvPicPr>
                              </pic:nvPicPr>
                              <pic:blipFill>
                                <a:blip r:embed="rId8"/>
                                <a:stretch>
                                  <a:fillRect/>
                                </a:stretch>
                              </pic:blipFill>
                              <pic:spPr>
                                <a:xfrm>
                                  <a:off x="0" y="0"/>
                                  <a:ext cx="162560" cy="155575"/>
                                </a:xfrm>
                                <a:prstGeom prst="rect">
                                  <a:avLst/>
                                </a:prstGeom>
                              </pic:spPr>
                            </pic:pic>
                          </a:graphicData>
                        </a:graphic>
                      </wp:inline>
                    </w:drawing>
                  </w:r>
                  <w:r>
                    <w:rPr>
                      <w:rFonts w:hint="eastAsia" w:ascii="楷体" w:hAnsi="楷体" w:eastAsia="楷体" w:cs="楷体"/>
                      <w:b/>
                      <w:color w:val="auto"/>
                      <w:sz w:val="32"/>
                      <w:szCs w:val="32"/>
                      <w:lang w:val="en-US" w:eastAsia="zh-CN"/>
                    </w:rPr>
                    <w:t>本周氢能企业动态</w:t>
                  </w:r>
                  <w:r>
                    <w:rPr>
                      <w:rFonts w:hint="eastAsia" w:ascii="楷体" w:hAnsi="楷体" w:eastAsia="楷体" w:cs="楷体"/>
                      <w:b/>
                      <w:bCs/>
                      <w:color w:val="auto"/>
                      <w:sz w:val="32"/>
                      <w:szCs w:val="32"/>
                      <w:lang w:val="en-US" w:eastAsia="zh-CN"/>
                    </w:rPr>
                    <w:t>：</w:t>
                  </w:r>
                </w:p>
                <w:p>
                  <w:pPr>
                    <w:numPr>
                      <w:ilvl w:val="0"/>
                      <w:numId w:val="0"/>
                    </w:numPr>
                    <w:spacing w:line="240" w:lineRule="auto"/>
                    <w:ind w:right="0" w:rightChars="0"/>
                    <w:rPr>
                      <w:rFonts w:hint="default"/>
                      <w:b/>
                      <w:bCs/>
                      <w:sz w:val="32"/>
                      <w:szCs w:val="32"/>
                      <w:lang w:val="en-US" w:eastAsia="zh-CN"/>
                    </w:rPr>
                  </w:pPr>
                  <w:r>
                    <w:rPr>
                      <w:rFonts w:hint="eastAsia" w:ascii="楷体" w:hAnsi="楷体" w:eastAsia="楷体" w:cs="楷体"/>
                      <w:b/>
                      <w:bCs/>
                      <w:i w:val="0"/>
                      <w:caps w:val="0"/>
                      <w:color w:val="auto"/>
                      <w:spacing w:val="0"/>
                      <w:sz w:val="32"/>
                      <w:szCs w:val="32"/>
                      <w:shd w:val="clear" w:fill="FFFFFF"/>
                      <w:lang w:val="en-US" w:eastAsia="zh-CN"/>
                    </w:rPr>
                    <w:t>林德：</w:t>
                  </w:r>
                  <w:r>
                    <w:rPr>
                      <w:rFonts w:hint="eastAsia" w:ascii="楷体" w:hAnsi="楷体" w:eastAsia="楷体" w:cs="楷体"/>
                      <w:i w:val="0"/>
                      <w:caps w:val="0"/>
                      <w:color w:val="auto"/>
                      <w:spacing w:val="30"/>
                      <w:sz w:val="32"/>
                      <w:szCs w:val="32"/>
                      <w:shd w:val="clear" w:fill="FFFFFF"/>
                    </w:rPr>
                    <w:t>签署氢能产业链项目合作框架协议</w:t>
                  </w:r>
                </w:p>
                <w:p>
                  <w:pPr>
                    <w:numPr>
                      <w:ilvl w:val="0"/>
                      <w:numId w:val="0"/>
                    </w:numPr>
                    <w:spacing w:line="240" w:lineRule="auto"/>
                    <w:ind w:leftChars="0" w:right="0" w:rightChars="0"/>
                    <w:rPr>
                      <w:rFonts w:hint="eastAsia" w:ascii="楷体" w:hAnsi="楷体" w:eastAsia="楷体" w:cs="楷体"/>
                      <w:i w:val="0"/>
                      <w:caps w:val="0"/>
                      <w:color w:val="545454"/>
                      <w:spacing w:val="30"/>
                      <w:sz w:val="32"/>
                      <w:szCs w:val="32"/>
                      <w:shd w:val="clear" w:fill="FFFFFF"/>
                      <w:lang w:val="en-US" w:eastAsia="zh-CN"/>
                    </w:rPr>
                  </w:pPr>
                  <w:r>
                    <w:rPr>
                      <w:rFonts w:hint="eastAsia" w:ascii="楷体" w:hAnsi="楷体" w:eastAsia="楷体" w:cs="楷体"/>
                      <w:b/>
                      <w:bCs/>
                      <w:i w:val="0"/>
                      <w:caps w:val="0"/>
                      <w:color w:val="auto"/>
                      <w:spacing w:val="30"/>
                      <w:sz w:val="32"/>
                      <w:szCs w:val="32"/>
                      <w:shd w:val="clear" w:fill="FFFFFF"/>
                      <w:lang w:val="en-US" w:eastAsia="zh-CN"/>
                    </w:rPr>
                    <w:t>空气化工</w:t>
                  </w:r>
                  <w:r>
                    <w:rPr>
                      <w:rFonts w:hint="eastAsia" w:ascii="楷体" w:hAnsi="楷体" w:eastAsia="楷体" w:cs="楷体"/>
                      <w:i w:val="0"/>
                      <w:caps w:val="0"/>
                      <w:color w:val="auto"/>
                      <w:spacing w:val="30"/>
                      <w:sz w:val="32"/>
                      <w:szCs w:val="32"/>
                      <w:shd w:val="clear" w:fill="FFFFFF"/>
                      <w:lang w:val="en-US" w:eastAsia="zh-CN"/>
                    </w:rPr>
                    <w:t>：与海盐经开区签署氢能应用研发中心</w:t>
                  </w:r>
                </w:p>
                <w:p>
                  <w:pPr>
                    <w:spacing w:line="240" w:lineRule="auto"/>
                    <w:rPr>
                      <w:sz w:val="32"/>
                      <w:szCs w:val="32"/>
                    </w:rPr>
                  </w:pPr>
                  <w:r>
                    <w:rPr>
                      <w:rFonts w:hint="eastAsia" w:ascii="楷体" w:hAnsi="楷体" w:eastAsia="楷体" w:cs="楷体"/>
                      <w:b/>
                      <w:bCs/>
                      <w:i w:val="0"/>
                      <w:caps w:val="0"/>
                      <w:color w:val="auto"/>
                      <w:spacing w:val="30"/>
                      <w:sz w:val="32"/>
                      <w:szCs w:val="32"/>
                      <w:shd w:val="clear" w:fill="FFFFFF"/>
                      <w:lang w:val="en-US" w:eastAsia="zh-CN"/>
                    </w:rPr>
                    <w:t>空气化工：</w:t>
                  </w:r>
                  <w:r>
                    <w:rPr>
                      <w:rFonts w:hint="eastAsia" w:ascii="楷体" w:hAnsi="楷体" w:eastAsia="楷体" w:cs="楷体"/>
                      <w:i w:val="0"/>
                      <w:caps w:val="0"/>
                      <w:color w:val="auto"/>
                      <w:spacing w:val="30"/>
                      <w:sz w:val="32"/>
                      <w:szCs w:val="32"/>
                      <w:shd w:val="clear" w:fill="FFFFFF"/>
                      <w:lang w:val="en-US" w:eastAsia="zh-CN"/>
                    </w:rPr>
                    <w:t>与</w:t>
                  </w:r>
                  <w:r>
                    <w:rPr>
                      <w:rFonts w:hint="eastAsia" w:ascii="楷体" w:hAnsi="楷体" w:eastAsia="楷体" w:cs="楷体"/>
                      <w:i w:val="0"/>
                      <w:caps w:val="0"/>
                      <w:color w:val="333333"/>
                      <w:spacing w:val="30"/>
                      <w:sz w:val="32"/>
                      <w:szCs w:val="32"/>
                      <w:shd w:val="clear" w:fill="FFFFFF"/>
                    </w:rPr>
                    <w:t>呼市、久泰集团签署氢能示范城市创建战略合作协议</w:t>
                  </w:r>
                </w:p>
                <w:p>
                  <w:pPr>
                    <w:spacing w:line="240" w:lineRule="auto"/>
                    <w:rPr>
                      <w:sz w:val="32"/>
                      <w:szCs w:val="32"/>
                    </w:rPr>
                  </w:pPr>
                  <w:r>
                    <w:rPr>
                      <w:rFonts w:hint="eastAsia" w:ascii="楷体" w:hAnsi="楷体" w:eastAsia="楷体" w:cs="楷体"/>
                      <w:b/>
                      <w:bCs/>
                      <w:i w:val="0"/>
                      <w:caps w:val="0"/>
                      <w:color w:val="333333"/>
                      <w:spacing w:val="8"/>
                      <w:sz w:val="32"/>
                      <w:szCs w:val="32"/>
                      <w:shd w:val="clear" w:fill="FFFFFF"/>
                    </w:rPr>
                    <w:t>雄韬股份</w:t>
                  </w:r>
                  <w:r>
                    <w:rPr>
                      <w:rFonts w:hint="eastAsia" w:ascii="楷体" w:hAnsi="楷体" w:eastAsia="楷体" w:cs="楷体"/>
                      <w:b/>
                      <w:bCs/>
                      <w:i w:val="0"/>
                      <w:caps w:val="0"/>
                      <w:color w:val="333333"/>
                      <w:spacing w:val="8"/>
                      <w:sz w:val="32"/>
                      <w:szCs w:val="32"/>
                      <w:shd w:val="clear" w:fill="FFFFFF"/>
                      <w:lang w:val="en-US" w:eastAsia="zh-CN"/>
                    </w:rPr>
                    <w:t>＆</w:t>
                  </w:r>
                  <w:r>
                    <w:rPr>
                      <w:rFonts w:hint="eastAsia" w:ascii="楷体" w:hAnsi="楷体" w:eastAsia="楷体" w:cs="楷体"/>
                      <w:b/>
                      <w:bCs/>
                      <w:i w:val="0"/>
                      <w:caps w:val="0"/>
                      <w:color w:val="333333"/>
                      <w:spacing w:val="8"/>
                      <w:sz w:val="32"/>
                      <w:szCs w:val="32"/>
                      <w:shd w:val="clear" w:fill="FFFFFF"/>
                    </w:rPr>
                    <w:t>京能同鑫</w:t>
                  </w:r>
                  <w:r>
                    <w:rPr>
                      <w:rFonts w:hint="eastAsia" w:ascii="楷体" w:hAnsi="楷体" w:eastAsia="楷体" w:cs="楷体"/>
                      <w:b/>
                      <w:bCs/>
                      <w:i w:val="0"/>
                      <w:caps w:val="0"/>
                      <w:color w:val="333333"/>
                      <w:spacing w:val="8"/>
                      <w:sz w:val="32"/>
                      <w:szCs w:val="32"/>
                      <w:shd w:val="clear" w:fill="FFFFFF"/>
                      <w:lang w:eastAsia="zh-CN"/>
                    </w:rPr>
                    <w:t>：</w:t>
                  </w:r>
                  <w:r>
                    <w:rPr>
                      <w:rFonts w:hint="eastAsia" w:ascii="楷体" w:hAnsi="楷体" w:eastAsia="楷体" w:cs="楷体"/>
                      <w:b w:val="0"/>
                      <w:bCs w:val="0"/>
                      <w:i w:val="0"/>
                      <w:caps w:val="0"/>
                      <w:color w:val="333333"/>
                      <w:spacing w:val="8"/>
                      <w:sz w:val="32"/>
                      <w:szCs w:val="32"/>
                      <w:shd w:val="clear" w:fill="FFFFFF"/>
                    </w:rPr>
                    <w:t>签署战略合作协议 共同推进氢能源产业链发展</w:t>
                  </w:r>
                </w:p>
                <w:p>
                  <w:pPr>
                    <w:spacing w:line="240" w:lineRule="auto"/>
                    <w:rPr>
                      <w:sz w:val="32"/>
                      <w:szCs w:val="32"/>
                    </w:rPr>
                  </w:pPr>
                  <w:r>
                    <w:rPr>
                      <w:rFonts w:hint="eastAsia" w:ascii="楷体" w:hAnsi="楷体" w:eastAsia="楷体" w:cs="楷体"/>
                      <w:b/>
                      <w:bCs/>
                      <w:i w:val="0"/>
                      <w:caps w:val="0"/>
                      <w:color w:val="333333"/>
                      <w:spacing w:val="8"/>
                      <w:sz w:val="32"/>
                      <w:szCs w:val="32"/>
                      <w:shd w:val="clear" w:fill="FFFFFF"/>
                    </w:rPr>
                    <w:t>未势能源</w:t>
                  </w:r>
                  <w:r>
                    <w:rPr>
                      <w:rFonts w:hint="eastAsia" w:ascii="楷体" w:hAnsi="楷体" w:eastAsia="楷体" w:cs="楷体"/>
                      <w:b/>
                      <w:bCs/>
                      <w:i w:val="0"/>
                      <w:caps w:val="0"/>
                      <w:color w:val="333333"/>
                      <w:spacing w:val="8"/>
                      <w:sz w:val="32"/>
                      <w:szCs w:val="32"/>
                      <w:shd w:val="clear" w:fill="FFFFFF"/>
                      <w:lang w:val="en-US" w:eastAsia="zh-CN"/>
                    </w:rPr>
                    <w:t>＆</w:t>
                  </w:r>
                  <w:r>
                    <w:rPr>
                      <w:rFonts w:hint="eastAsia" w:ascii="楷体" w:hAnsi="楷体" w:eastAsia="楷体" w:cs="楷体"/>
                      <w:b/>
                      <w:bCs/>
                      <w:i w:val="0"/>
                      <w:caps w:val="0"/>
                      <w:color w:val="333333"/>
                      <w:spacing w:val="8"/>
                      <w:sz w:val="32"/>
                      <w:szCs w:val="32"/>
                      <w:shd w:val="clear" w:fill="FFFFFF"/>
                    </w:rPr>
                    <w:t>捷氢科技</w:t>
                  </w:r>
                  <w:r>
                    <w:rPr>
                      <w:rFonts w:hint="eastAsia" w:ascii="楷体" w:hAnsi="楷体" w:eastAsia="楷体" w:cs="楷体"/>
                      <w:b/>
                      <w:bCs/>
                      <w:i w:val="0"/>
                      <w:caps w:val="0"/>
                      <w:color w:val="333333"/>
                      <w:spacing w:val="8"/>
                      <w:sz w:val="32"/>
                      <w:szCs w:val="32"/>
                      <w:shd w:val="clear" w:fill="FFFFFF"/>
                      <w:lang w:eastAsia="zh-CN"/>
                    </w:rPr>
                    <w:t>：</w:t>
                  </w:r>
                  <w:r>
                    <w:rPr>
                      <w:rFonts w:hint="eastAsia" w:ascii="楷体" w:hAnsi="楷体" w:eastAsia="楷体" w:cs="楷体"/>
                      <w:b w:val="0"/>
                      <w:bCs w:val="0"/>
                      <w:i w:val="0"/>
                      <w:caps w:val="0"/>
                      <w:color w:val="333333"/>
                      <w:spacing w:val="8"/>
                      <w:sz w:val="32"/>
                      <w:szCs w:val="32"/>
                      <w:shd w:val="clear" w:fill="FFFFFF"/>
                    </w:rPr>
                    <w:t>共同研发燃料电池核心技术研发</w:t>
                  </w:r>
                </w:p>
                <w:p>
                  <w:pPr>
                    <w:spacing w:line="240" w:lineRule="auto"/>
                    <w:rPr>
                      <w:sz w:val="32"/>
                      <w:szCs w:val="32"/>
                    </w:rPr>
                  </w:pPr>
                  <w:r>
                    <w:rPr>
                      <w:rFonts w:hint="eastAsia" w:ascii="楷体" w:hAnsi="楷体" w:eastAsia="楷体" w:cs="楷体"/>
                      <w:b/>
                      <w:bCs/>
                      <w:i w:val="0"/>
                      <w:caps w:val="0"/>
                      <w:color w:val="333333"/>
                      <w:spacing w:val="8"/>
                      <w:sz w:val="32"/>
                      <w:szCs w:val="32"/>
                      <w:shd w:val="clear" w:fill="FFFFFF"/>
                    </w:rPr>
                    <w:t>鸿达兴业：</w:t>
                  </w:r>
                  <w:r>
                    <w:rPr>
                      <w:rFonts w:hint="eastAsia" w:ascii="楷体" w:hAnsi="楷体" w:eastAsia="楷体" w:cs="楷体"/>
                      <w:i w:val="0"/>
                      <w:caps w:val="0"/>
                      <w:color w:val="333333"/>
                      <w:spacing w:val="8"/>
                      <w:sz w:val="32"/>
                      <w:szCs w:val="32"/>
                      <w:shd w:val="clear" w:fill="FFFFFF"/>
                    </w:rPr>
                    <w:t>与内蒙古乌海公交公司签署燃料电池汽车供氢服务协议</w:t>
                  </w:r>
                </w:p>
                <w:p>
                  <w:pPr>
                    <w:rPr>
                      <w:rFonts w:hint="default"/>
                      <w:b/>
                      <w:bCs/>
                      <w:sz w:val="24"/>
                      <w:szCs w:val="24"/>
                      <w:lang w:val="en-US" w:eastAsia="zh-CN"/>
                    </w:rPr>
                  </w:pPr>
                </w:p>
              </w:txbxContent>
            </v:textbox>
          </v:shape>
        </w:pict>
      </w:r>
    </w:p>
    <w:p>
      <w:pPr>
        <w:pStyle w:val="4"/>
        <w:spacing w:before="1"/>
        <w:rPr>
          <w:sz w:val="12"/>
        </w:rPr>
      </w:pPr>
    </w:p>
    <w:p>
      <w:pPr>
        <w:tabs>
          <w:tab w:val="left" w:pos="724"/>
        </w:tabs>
        <w:spacing w:before="0" w:line="598" w:lineRule="exact"/>
        <w:ind w:left="0" w:right="545" w:firstLine="0"/>
        <w:jc w:val="center"/>
        <w:rPr>
          <w:rFonts w:hint="eastAsia" w:ascii="微软雅黑" w:eastAsia="微软雅黑"/>
          <w:b/>
          <w:sz w:val="36"/>
        </w:rPr>
      </w:pPr>
      <w:r>
        <w:rPr>
          <w:rFonts w:hint="eastAsia" w:ascii="微软雅黑" w:eastAsia="微软雅黑"/>
          <w:b/>
          <w:sz w:val="36"/>
        </w:rPr>
        <w:t>目</w:t>
      </w:r>
      <w:r>
        <w:rPr>
          <w:rFonts w:hint="eastAsia" w:ascii="微软雅黑" w:eastAsia="微软雅黑"/>
          <w:b/>
          <w:sz w:val="36"/>
        </w:rPr>
        <w:tab/>
      </w:r>
      <w:r>
        <w:rPr>
          <w:rFonts w:hint="eastAsia" w:ascii="微软雅黑" w:eastAsia="微软雅黑"/>
          <w:b/>
          <w:sz w:val="36"/>
        </w:rPr>
        <w:t>录</w:t>
      </w:r>
    </w:p>
    <w:p>
      <w:pPr>
        <w:pStyle w:val="4"/>
        <w:spacing w:before="6"/>
        <w:rPr>
          <w:rFonts w:ascii="Times New Roman"/>
          <w:sz w:val="21"/>
        </w:rPr>
      </w:pPr>
    </w:p>
    <w:p>
      <w:pPr>
        <w:pStyle w:val="4"/>
        <w:spacing w:before="6"/>
        <w:rPr>
          <w:rFonts w:ascii="Times New Roman"/>
          <w:sz w:val="21"/>
        </w:rPr>
      </w:pPr>
      <w:bookmarkStart w:id="1" w:name="_GoBack"/>
      <w:bookmarkEnd w:id="1"/>
      <w:r>
        <w:rPr>
          <w:sz w:val="36"/>
        </w:rPr>
        <w:pict>
          <v:shape id="_x0000_s3267" o:spid="_x0000_s3267" o:spt="202" type="#_x0000_t202" style="position:absolute;left:0pt;margin-left:44.95pt;margin-top:-8.25pt;height:677.6pt;width:495.85pt;z-index:255976448;mso-width-relative:page;mso-height-relative:page;" fillcolor="#FFFFFF" filled="t" stroked="f" coordsize="21600,21600">
            <v:path/>
            <v:fill on="t" color2="#FFFFFF" focussize="0,0"/>
            <v:stroke on="f"/>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微软雅黑" w:hAnsi="微软雅黑" w:eastAsia="微软雅黑" w:cs="微软雅黑"/>
                      <w:b/>
                      <w:bCs/>
                      <w:sz w:val="21"/>
                      <w:szCs w:val="21"/>
                      <w:lang w:val="en-US" w:eastAsia="zh-CN" w:bidi="zh-CN"/>
                    </w:rPr>
                  </w:pPr>
                  <w:r>
                    <w:rPr>
                      <w:rFonts w:hint="eastAsia" w:ascii="微软雅黑" w:hAnsi="微软雅黑" w:eastAsia="微软雅黑" w:cs="微软雅黑"/>
                      <w:b/>
                      <w:bCs/>
                      <w:sz w:val="21"/>
                      <w:szCs w:val="21"/>
                      <w:lang w:val="en-US" w:eastAsia="zh-CN" w:bidi="zh-CN"/>
                    </w:rPr>
                    <w:t>1 市场表现 …………………………………………………………………………………………………………</w:t>
                  </w:r>
                  <w:r>
                    <w:rPr>
                      <w:rFonts w:hint="eastAsia"/>
                      <w:sz w:val="21"/>
                      <w:lang w:val="en-US" w:eastAsia="zh-CN"/>
                    </w:rPr>
                    <w:t xml:space="preserve"> </w:t>
                  </w:r>
                  <w:r>
                    <w:rPr>
                      <w:rFonts w:hint="eastAsia" w:ascii="微软雅黑" w:hAnsi="微软雅黑" w:eastAsia="微软雅黑" w:cs="微软雅黑"/>
                      <w:b/>
                      <w:bCs/>
                      <w:sz w:val="21"/>
                      <w:szCs w:val="21"/>
                      <w:lang w:val="en-US" w:eastAsia="zh-CN" w:bidi="zh-CN"/>
                    </w:rPr>
                    <w:t>03</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cs="新宋体"/>
                      <w:sz w:val="21"/>
                      <w:szCs w:val="21"/>
                      <w:lang w:val="en-US" w:eastAsia="zh-CN" w:bidi="zh-CN"/>
                    </w:rPr>
                  </w:pPr>
                  <w:r>
                    <w:rPr>
                      <w:rFonts w:hint="eastAsia" w:ascii="新宋体" w:hAnsi="新宋体" w:eastAsia="新宋体" w:cs="新宋体"/>
                      <w:sz w:val="21"/>
                      <w:szCs w:val="21"/>
                      <w:lang w:val="en-US" w:eastAsia="zh-CN" w:bidi="zh-CN"/>
                    </w:rPr>
                    <w:t>1.1本周指数回顾</w:t>
                  </w:r>
                  <w:r>
                    <w:rPr>
                      <w:rFonts w:hint="eastAsia" w:cs="新宋体"/>
                      <w:sz w:val="21"/>
                      <w:szCs w:val="21"/>
                      <w:lang w:val="en-US" w:eastAsia="zh-CN" w:bidi="zh-CN"/>
                    </w:rPr>
                    <w:t xml:space="preserve"> ………………………………………………………………………………………… 03</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1.2各股涨跌幅情况</w:t>
                  </w:r>
                  <w:r>
                    <w:rPr>
                      <w:rFonts w:hint="eastAsia" w:cs="新宋体"/>
                      <w:sz w:val="21"/>
                      <w:szCs w:val="21"/>
                      <w:lang w:val="en-US" w:eastAsia="zh-CN" w:bidi="zh-CN"/>
                    </w:rPr>
                    <w:t xml:space="preserve"> ……………………………………………………………………………………… 04</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eastAsia" w:ascii="微软雅黑" w:hAnsi="微软雅黑" w:eastAsia="微软雅黑" w:cs="微软雅黑"/>
                      <w:b/>
                      <w:bCs/>
                      <w:sz w:val="21"/>
                      <w:szCs w:val="21"/>
                      <w:lang w:val="en-US" w:eastAsia="zh-CN" w:bidi="zh-CN"/>
                    </w:rPr>
                  </w:pPr>
                  <w:r>
                    <w:rPr>
                      <w:rFonts w:hint="eastAsia" w:ascii="微软雅黑" w:hAnsi="微软雅黑" w:eastAsia="微软雅黑" w:cs="微软雅黑"/>
                      <w:b/>
                      <w:bCs/>
                      <w:sz w:val="21"/>
                      <w:szCs w:val="21"/>
                      <w:lang w:val="en-US" w:eastAsia="zh-CN" w:bidi="zh-CN"/>
                    </w:rPr>
                    <w:t xml:space="preserve">2 本周行业动态 ……………………………………………………………………………………………………  06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2.1 广东出台加快氢燃料电池汽车产业发展实施方案</w:t>
                  </w:r>
                  <w:r>
                    <w:rPr>
                      <w:rFonts w:hint="eastAsia" w:cs="新宋体"/>
                      <w:sz w:val="21"/>
                      <w:szCs w:val="21"/>
                      <w:lang w:val="en-US" w:eastAsia="zh-CN" w:bidi="zh-CN"/>
                    </w:rPr>
                    <w:t xml:space="preserve"> ………………………………………………  06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2.2 科技部：继续加强氢能与燃料电池技术攻关与核心技术实质突破</w:t>
                  </w:r>
                  <w:r>
                    <w:rPr>
                      <w:rFonts w:hint="eastAsia" w:cs="新宋体"/>
                      <w:sz w:val="21"/>
                      <w:szCs w:val="21"/>
                      <w:lang w:val="en-US" w:eastAsia="zh-CN" w:bidi="zh-CN"/>
                    </w:rPr>
                    <w:t xml:space="preserve"> ……………………………  06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2.3 山东省发布新基建三年行动方案 （2020-2022年）</w:t>
                  </w:r>
                  <w:r>
                    <w:rPr>
                      <w:rFonts w:hint="eastAsia" w:cs="新宋体"/>
                      <w:sz w:val="21"/>
                      <w:szCs w:val="21"/>
                      <w:lang w:val="en-US" w:eastAsia="zh-CN" w:bidi="zh-CN"/>
                    </w:rPr>
                    <w:t xml:space="preserve"> ……………………………………………  07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2.4 吉林电力交易中心近日发布《关于开展2020年氢能产业与风电企业直接交易的通知》</w:t>
                  </w:r>
                  <w:r>
                    <w:rPr>
                      <w:rFonts w:hint="eastAsia" w:cs="新宋体"/>
                      <w:sz w:val="21"/>
                      <w:szCs w:val="21"/>
                      <w:lang w:val="en-US" w:eastAsia="zh-CN" w:bidi="zh-CN"/>
                    </w:rPr>
                    <w:t xml:space="preserve"> ……  07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2.5 内蒙古酝酿出台《内蒙古自治区氢能产业发展指导意见》</w:t>
                  </w:r>
                  <w:r>
                    <w:rPr>
                      <w:rFonts w:hint="eastAsia" w:cs="新宋体"/>
                      <w:sz w:val="21"/>
                      <w:szCs w:val="21"/>
                      <w:lang w:val="en-US" w:eastAsia="zh-CN" w:bidi="zh-CN"/>
                    </w:rPr>
                    <w:t xml:space="preserve"> ……………………………………  08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2.6 上海六部门印发《上海市燃料电池汽车产业创新发展实施计划》</w:t>
                  </w:r>
                  <w:r>
                    <w:rPr>
                      <w:rFonts w:hint="eastAsia" w:cs="新宋体"/>
                      <w:sz w:val="21"/>
                      <w:szCs w:val="21"/>
                      <w:lang w:val="en-US" w:eastAsia="zh-CN" w:bidi="zh-CN"/>
                    </w:rPr>
                    <w:t xml:space="preserve"> ……………………………  08                          </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2.7 《青浦区氢能及燃料电池产业规划》正式发布</w:t>
                  </w:r>
                  <w:r>
                    <w:rPr>
                      <w:rFonts w:hint="eastAsia" w:cs="新宋体"/>
                      <w:sz w:val="21"/>
                      <w:szCs w:val="21"/>
                      <w:lang w:val="en-US" w:eastAsia="zh-CN" w:bidi="zh-CN"/>
                    </w:rPr>
                    <w:t xml:space="preserve"> …………………………………………………  08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微软雅黑" w:hAnsi="微软雅黑" w:eastAsia="微软雅黑" w:cs="微软雅黑"/>
                      <w:b/>
                      <w:bCs/>
                      <w:sz w:val="21"/>
                      <w:szCs w:val="21"/>
                      <w:lang w:val="en-US" w:eastAsia="zh-CN" w:bidi="zh-CN"/>
                    </w:rPr>
                  </w:pPr>
                  <w:r>
                    <w:rPr>
                      <w:rFonts w:hint="eastAsia" w:ascii="微软雅黑" w:hAnsi="微软雅黑" w:eastAsia="微软雅黑" w:cs="微软雅黑"/>
                      <w:b/>
                      <w:bCs/>
                      <w:sz w:val="21"/>
                      <w:szCs w:val="21"/>
                      <w:lang w:val="en-US" w:eastAsia="zh-CN" w:bidi="zh-CN"/>
                    </w:rPr>
                    <w:t>3 本周企业动态 ……………………………………………………………………………………………………  09</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 林德</w:t>
                  </w:r>
                  <w:r>
                    <w:rPr>
                      <w:rFonts w:hint="eastAsia" w:cs="新宋体"/>
                      <w:sz w:val="21"/>
                      <w:szCs w:val="21"/>
                      <w:lang w:val="en-US" w:eastAsia="zh-CN" w:bidi="zh-CN"/>
                    </w:rPr>
                    <w:t xml:space="preserve"> …………………………………………………………………………………………………  09</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3.2 空气化工</w:t>
                  </w:r>
                  <w:r>
                    <w:rPr>
                      <w:rFonts w:hint="eastAsia" w:cs="新宋体"/>
                      <w:sz w:val="21"/>
                      <w:szCs w:val="21"/>
                      <w:lang w:val="en-US" w:eastAsia="zh-CN" w:bidi="zh-CN"/>
                    </w:rPr>
                    <w:t xml:space="preserve"> ……………………………………………………………………………………………  09</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 xml:space="preserve">3.3 </w:t>
                  </w:r>
                  <w:r>
                    <w:rPr>
                      <w:rFonts w:hint="eastAsia" w:cs="新宋体"/>
                      <w:sz w:val="21"/>
                      <w:szCs w:val="21"/>
                      <w:lang w:val="en-US" w:eastAsia="zh-CN" w:bidi="zh-CN"/>
                    </w:rPr>
                    <w:t>空气化工……………………………………………………………………………………………  09</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3.4 英国石油公司</w:t>
                  </w:r>
                  <w:r>
                    <w:rPr>
                      <w:rFonts w:hint="eastAsia" w:cs="新宋体"/>
                      <w:sz w:val="21"/>
                      <w:szCs w:val="21"/>
                      <w:lang w:val="en-US" w:eastAsia="zh-CN" w:bidi="zh-CN"/>
                    </w:rPr>
                    <w:t xml:space="preserve"> ………………………………………………………………………………………  10</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3.5  雄韬股份＆京能同鑫</w:t>
                  </w:r>
                  <w:r>
                    <w:rPr>
                      <w:rFonts w:hint="eastAsia" w:cs="新宋体"/>
                      <w:sz w:val="21"/>
                      <w:szCs w:val="21"/>
                      <w:lang w:val="en-US" w:eastAsia="zh-CN" w:bidi="zh-CN"/>
                    </w:rPr>
                    <w:t xml:space="preserve"> ……………………………………………………………………………   10</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3.6 未势能源＆捷氢科技</w:t>
                  </w:r>
                  <w:r>
                    <w:rPr>
                      <w:rFonts w:hint="eastAsia" w:cs="新宋体"/>
                      <w:sz w:val="21"/>
                      <w:szCs w:val="21"/>
                      <w:lang w:val="en-US" w:eastAsia="zh-CN" w:bidi="zh-CN"/>
                    </w:rPr>
                    <w:t xml:space="preserve"> ………………………………………………………………………………  10</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3.7 鸿达兴业</w:t>
                  </w:r>
                  <w:r>
                    <w:rPr>
                      <w:rFonts w:hint="eastAsia" w:cs="新宋体"/>
                      <w:sz w:val="21"/>
                      <w:szCs w:val="21"/>
                      <w:lang w:val="en-US" w:eastAsia="zh-CN" w:bidi="zh-CN"/>
                    </w:rPr>
                    <w:t xml:space="preserve"> ……………………………………………………………………………………………  11</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3.8 国家电投</w:t>
                  </w:r>
                  <w:r>
                    <w:rPr>
                      <w:rFonts w:hint="eastAsia" w:cs="新宋体"/>
                      <w:sz w:val="21"/>
                      <w:szCs w:val="21"/>
                      <w:lang w:val="en-US" w:eastAsia="zh-CN" w:bidi="zh-CN"/>
                    </w:rPr>
                    <w:t xml:space="preserve"> ……………………………………………………………………………………………  11</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3.9 壳牌</w:t>
                  </w:r>
                  <w:r>
                    <w:rPr>
                      <w:rFonts w:hint="eastAsia" w:cs="新宋体"/>
                      <w:sz w:val="21"/>
                      <w:szCs w:val="21"/>
                      <w:lang w:val="en-US" w:eastAsia="zh-CN" w:bidi="zh-CN"/>
                    </w:rPr>
                    <w:t xml:space="preserve"> …………………………………………………………………………………………………  12</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3.10 雄韬氢雄＆厦门金龙</w:t>
                  </w:r>
                  <w:r>
                    <w:rPr>
                      <w:rFonts w:hint="eastAsia" w:cs="新宋体"/>
                      <w:sz w:val="21"/>
                      <w:szCs w:val="21"/>
                      <w:lang w:val="en-US" w:eastAsia="zh-CN" w:bidi="zh-CN"/>
                    </w:rPr>
                    <w:t xml:space="preserve"> ……………………………………………………………………………   12</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3.11 未势能源＆上燃动力＆开沃汽车</w:t>
                  </w:r>
                  <w:r>
                    <w:rPr>
                      <w:rFonts w:hint="eastAsia" w:cs="新宋体"/>
                      <w:sz w:val="21"/>
                      <w:szCs w:val="21"/>
                      <w:lang w:val="en-US" w:eastAsia="zh-CN" w:bidi="zh-CN"/>
                    </w:rPr>
                    <w:t xml:space="preserve"> ………………………………………………………………   13</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3.12：北汽福田</w:t>
                  </w:r>
                  <w:r>
                    <w:rPr>
                      <w:rFonts w:hint="eastAsia" w:cs="新宋体"/>
                      <w:sz w:val="21"/>
                      <w:szCs w:val="21"/>
                      <w:lang w:val="en-US" w:eastAsia="zh-CN" w:bidi="zh-CN"/>
                    </w:rPr>
                    <w:t xml:space="preserve"> …………………………………………………………………………………………  13</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3.13 旭阳中燃</w:t>
                  </w:r>
                  <w:r>
                    <w:rPr>
                      <w:rFonts w:hint="eastAsia" w:cs="新宋体"/>
                      <w:sz w:val="21"/>
                      <w:szCs w:val="21"/>
                      <w:lang w:val="en-US" w:eastAsia="zh-CN" w:bidi="zh-CN"/>
                    </w:rPr>
                    <w:t xml:space="preserve"> …………………………………………………………………………………………   14</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default" w:ascii="新宋体" w:hAnsi="新宋体" w:eastAsia="新宋体" w:cs="新宋体"/>
                      <w:sz w:val="21"/>
                      <w:szCs w:val="21"/>
                      <w:lang w:val="en-US" w:eastAsia="zh-CN" w:bidi="zh-CN"/>
                    </w:rPr>
                  </w:pPr>
                  <w:r>
                    <w:rPr>
                      <w:rFonts w:hint="eastAsia" w:ascii="新宋体" w:hAnsi="新宋体" w:eastAsia="新宋体" w:cs="新宋体"/>
                      <w:sz w:val="21"/>
                      <w:szCs w:val="21"/>
                      <w:lang w:val="en-US" w:eastAsia="zh-CN" w:bidi="zh-CN"/>
                    </w:rPr>
                    <w:t>3.14 上海电气＆京能电力</w:t>
                  </w:r>
                  <w:r>
                    <w:rPr>
                      <w:rFonts w:hint="eastAsia" w:cs="新宋体"/>
                      <w:sz w:val="21"/>
                      <w:szCs w:val="21"/>
                      <w:lang w:val="en-US" w:eastAsia="zh-CN" w:bidi="zh-CN"/>
                    </w:rPr>
                    <w:t xml:space="preserve"> ……………………………………………………………………………   14</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微软雅黑" w:hAnsi="微软雅黑" w:eastAsia="微软雅黑" w:cs="微软雅黑"/>
                      <w:b/>
                      <w:bCs/>
                      <w:sz w:val="21"/>
                      <w:szCs w:val="21"/>
                      <w:lang w:val="en-US" w:eastAsia="zh-CN" w:bidi="zh-CN"/>
                    </w:rPr>
                  </w:pPr>
                  <w:r>
                    <w:rPr>
                      <w:rFonts w:hint="eastAsia" w:ascii="微软雅黑" w:hAnsi="微软雅黑" w:eastAsia="微软雅黑" w:cs="微软雅黑"/>
                      <w:b/>
                      <w:bCs/>
                      <w:sz w:val="21"/>
                      <w:szCs w:val="21"/>
                      <w:lang w:val="en-US" w:eastAsia="zh-CN" w:bidi="zh-CN"/>
                    </w:rPr>
                    <w:t>4 国内外加氢站分布图 ……………………………………………………………………………………………  15</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微软雅黑" w:hAnsi="微软雅黑" w:eastAsia="微软雅黑" w:cs="微软雅黑"/>
                      <w:b/>
                      <w:bCs/>
                      <w:sz w:val="21"/>
                      <w:szCs w:val="21"/>
                      <w:lang w:val="en-US" w:eastAsia="zh-CN" w:bidi="zh-CN"/>
                    </w:rPr>
                  </w:pPr>
                  <w:r>
                    <w:rPr>
                      <w:rFonts w:hint="eastAsia" w:ascii="微软雅黑" w:hAnsi="微软雅黑" w:eastAsia="微软雅黑" w:cs="微软雅黑"/>
                      <w:b/>
                      <w:bCs/>
                      <w:sz w:val="21"/>
                      <w:szCs w:val="21"/>
                      <w:lang w:val="en-US" w:eastAsia="zh-CN" w:bidi="zh-CN"/>
                    </w:rPr>
                    <w:t>5 氢能源板块累计跌涨幅及现价 ………………………………………………………………………………     16</w:t>
                  </w:r>
                </w:p>
                <w:p/>
              </w:txbxContent>
            </v:textbox>
          </v:shape>
        </w:pict>
      </w: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4"/>
        <w:spacing w:before="6"/>
        <w:rPr>
          <w:rFonts w:ascii="Times New Roman"/>
          <w:sz w:val="21"/>
        </w:rPr>
      </w:pPr>
    </w:p>
    <w:p>
      <w:pPr>
        <w:pStyle w:val="2"/>
        <w:numPr>
          <w:ilvl w:val="0"/>
          <w:numId w:val="1"/>
        </w:numPr>
        <w:tabs>
          <w:tab w:val="left" w:pos="1179"/>
        </w:tabs>
        <w:spacing w:before="0" w:after="0" w:line="497" w:lineRule="exact"/>
        <w:ind w:left="899" w:leftChars="0" w:right="0" w:rightChars="0"/>
        <w:jc w:val="left"/>
      </w:pPr>
      <w:bookmarkStart w:id="0" w:name="_TOC_250003"/>
      <w:bookmarkEnd w:id="0"/>
      <w:r>
        <w:rPr>
          <w:rFonts w:hint="eastAsia"/>
          <w:lang w:val="en-US" w:eastAsia="zh-CN"/>
        </w:rPr>
        <w:t>市场表现</w:t>
      </w:r>
    </w:p>
    <w:p/>
    <w:p>
      <w:pPr>
        <w:pStyle w:val="4"/>
        <w:numPr>
          <w:ilvl w:val="0"/>
          <w:numId w:val="0"/>
        </w:numPr>
        <w:spacing w:before="14"/>
        <w:ind w:left="905" w:leftChars="0" w:right="0" w:rightChars="0"/>
        <w:rPr>
          <w:rFonts w:hint="eastAsia" w:ascii="微软雅黑"/>
          <w:b/>
          <w:sz w:val="19"/>
          <w:lang w:val="en-US" w:eastAsia="zh-CN"/>
        </w:rPr>
      </w:pPr>
      <w:r>
        <w:rPr>
          <w:rFonts w:hint="eastAsia" w:ascii="微软雅黑"/>
          <w:b/>
          <w:sz w:val="21"/>
          <w:szCs w:val="21"/>
          <w:lang w:val="en-US" w:eastAsia="zh-CN"/>
        </w:rPr>
        <w:t>1.1本周指数回顾</w:t>
      </w:r>
    </w:p>
    <w:p>
      <w:pPr>
        <w:pStyle w:val="4"/>
        <w:numPr>
          <w:ilvl w:val="0"/>
          <w:numId w:val="0"/>
        </w:numPr>
        <w:spacing w:before="14"/>
        <w:ind w:right="0" w:rightChars="0"/>
        <w:rPr>
          <w:rFonts w:hint="default" w:ascii="微软雅黑"/>
          <w:b/>
          <w:sz w:val="19"/>
          <w:lang w:val="en-US" w:eastAsia="zh-CN"/>
        </w:rPr>
      </w:pPr>
    </w:p>
    <w:p>
      <w:pPr>
        <w:spacing w:before="102" w:after="18"/>
        <w:ind w:left="900" w:right="0" w:firstLine="0"/>
        <w:jc w:val="left"/>
        <w:rPr>
          <w:sz w:val="21"/>
        </w:rPr>
      </w:pPr>
      <w:r>
        <w:rPr>
          <w:b/>
          <w:sz w:val="22"/>
        </w:rPr>
        <w:t>图</w:t>
      </w:r>
      <w:r>
        <w:rPr>
          <w:rFonts w:ascii="Arial" w:eastAsia="Arial"/>
          <w:b/>
          <w:sz w:val="22"/>
        </w:rPr>
        <w:t>1.</w:t>
      </w:r>
      <w:r>
        <w:rPr>
          <w:rFonts w:ascii="Arial" w:eastAsia="Arial"/>
          <w:b/>
          <w:sz w:val="22"/>
        </w:rPr>
        <w:tab/>
      </w:r>
      <w:r>
        <w:rPr>
          <w:rFonts w:hint="eastAsia" w:ascii="Arial" w:eastAsia="宋体"/>
          <w:b/>
          <w:sz w:val="22"/>
          <w:lang w:val="en-US" w:eastAsia="zh-CN"/>
        </w:rPr>
        <w:t>本周氢能板块</w:t>
      </w:r>
      <w:r>
        <w:rPr>
          <w:b/>
          <w:sz w:val="22"/>
        </w:rPr>
        <w:t>表现回顾</w:t>
      </w:r>
    </w:p>
    <w:p>
      <w:pPr>
        <w:pStyle w:val="4"/>
        <w:spacing w:line="20" w:lineRule="exact"/>
        <w:ind w:left="895"/>
        <w:rPr>
          <w:sz w:val="2"/>
        </w:rPr>
      </w:pPr>
      <w:r>
        <w:rPr>
          <w:sz w:val="2"/>
        </w:rPr>
        <w:pict>
          <v:group id="_x0000_s1044" o:spid="_x0000_s1044" o:spt="203" style="height:0.5pt;width:493.3pt;" coordsize="9866,10">
            <o:lock v:ext="edit"/>
            <v:line id="_x0000_s1045" o:spid="_x0000_s1045" o:spt="20" style="position:absolute;left:0;top:5;height:0;width:9866;" stroked="t" coordsize="21600,21600">
              <v:path arrowok="t"/>
              <v:fill focussize="0,0"/>
              <v:stroke weight="0.48pt" color="#4F81BC"/>
              <v:imagedata o:title=""/>
              <o:lock v:ext="edit"/>
            </v:line>
            <w10:wrap type="none"/>
            <w10:anchorlock/>
          </v:group>
        </w:pict>
      </w: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r>
        <w:rPr>
          <w:rFonts w:hint="eastAsia" w:ascii="Times New Roman"/>
          <w:sz w:val="18"/>
          <w:lang w:val="en-US" w:eastAsia="zh-CN"/>
        </w:rPr>
        <w:t xml:space="preserve"> </w:t>
      </w: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r>
        <w:rPr>
          <w:sz w:val="18"/>
        </w:rPr>
        <w:pict>
          <v:shape id="_x0000_s3225" o:spid="_x0000_s3225" o:spt="202" type="#_x0000_t202" style="position:absolute;left:0pt;margin-left:38.65pt;margin-top:3.4pt;height:225.95pt;width:500.8pt;z-index:243238912;mso-width-relative:page;mso-height-relative:page;" fillcolor="#FFFFFF" filled="t" stroked="f" coordsize="21600,21600">
            <v:path/>
            <v:fill on="t" focussize="0,0"/>
            <v:stroke on="f"/>
            <v:imagedata o:title=""/>
            <o:lock v:ext="edit" aspectratio="f"/>
            <v:textbox>
              <w:txbxContent>
                <w:p>
                  <w:pPr>
                    <w:rPr>
                      <w:rFonts w:hint="eastAsia" w:eastAsia="新宋体"/>
                      <w:lang w:eastAsia="zh-CN"/>
                    </w:rPr>
                  </w:pPr>
                  <w:r>
                    <w:rPr>
                      <w:rFonts w:hint="eastAsia" w:eastAsia="新宋体"/>
                      <w:lang w:eastAsia="zh-CN"/>
                    </w:rPr>
                    <w:drawing>
                      <wp:inline distT="0" distB="0" distL="114300" distR="114300">
                        <wp:extent cx="6200775" cy="2664460"/>
                        <wp:effectExtent l="0" t="0" r="9525" b="2540"/>
                        <wp:docPr id="44" name="图片 44" descr="a820b1ad0fdaa348a1d855ca00db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820b1ad0fdaa348a1d855ca00db3dc"/>
                                <pic:cNvPicPr>
                                  <a:picLocks noChangeAspect="1"/>
                                </pic:cNvPicPr>
                              </pic:nvPicPr>
                              <pic:blipFill>
                                <a:blip r:embed="rId13"/>
                                <a:stretch>
                                  <a:fillRect/>
                                </a:stretch>
                              </pic:blipFill>
                              <pic:spPr>
                                <a:xfrm>
                                  <a:off x="0" y="0"/>
                                  <a:ext cx="6200775" cy="2664460"/>
                                </a:xfrm>
                                <a:prstGeom prst="rect">
                                  <a:avLst/>
                                </a:prstGeom>
                              </pic:spPr>
                            </pic:pic>
                          </a:graphicData>
                        </a:graphic>
                      </wp:inline>
                    </w:drawing>
                  </w:r>
                </w:p>
              </w:txbxContent>
            </v:textbox>
          </v:shape>
        </w:pict>
      </w: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spacing w:after="0"/>
        <w:rPr>
          <w:rFonts w:ascii="Times New Roman"/>
          <w:sz w:val="29"/>
        </w:rPr>
        <w:sectPr>
          <w:headerReference r:id="rId4" w:type="default"/>
          <w:footerReference r:id="rId5" w:type="default"/>
          <w:pgSz w:w="11910" w:h="16840"/>
          <w:pgMar w:top="1260" w:right="0" w:bottom="1260" w:left="120" w:header="417" w:footer="1079" w:gutter="0"/>
        </w:sectPr>
      </w:pPr>
    </w:p>
    <w:p>
      <w:pPr>
        <w:pStyle w:val="4"/>
        <w:rPr>
          <w:rFonts w:ascii="Times New Roman"/>
        </w:rPr>
      </w:pPr>
    </w:p>
    <w:p>
      <w:pPr>
        <w:spacing w:before="140"/>
        <w:ind w:right="0"/>
        <w:jc w:val="left"/>
        <w:rPr>
          <w:spacing w:val="-18"/>
          <w:sz w:val="21"/>
        </w:rPr>
      </w:pPr>
    </w:p>
    <w:p>
      <w:pPr>
        <w:spacing w:before="140"/>
        <w:ind w:left="900" w:right="0" w:firstLine="0"/>
        <w:jc w:val="left"/>
        <w:rPr>
          <w:spacing w:val="-18"/>
          <w:sz w:val="21"/>
        </w:rPr>
      </w:pPr>
    </w:p>
    <w:p>
      <w:pPr>
        <w:spacing w:before="140"/>
        <w:ind w:left="900" w:right="0" w:firstLine="0"/>
        <w:jc w:val="left"/>
        <w:rPr>
          <w:rFonts w:hint="default" w:eastAsia="新宋体"/>
          <w:b/>
          <w:bCs/>
          <w:sz w:val="21"/>
          <w:lang w:val="en-US" w:eastAsia="zh-CN"/>
        </w:rPr>
      </w:pPr>
      <w:r>
        <w:rPr>
          <w:b/>
          <w:bCs/>
          <w:spacing w:val="-18"/>
          <w:sz w:val="21"/>
        </w:rPr>
        <w:t xml:space="preserve">图 </w:t>
      </w:r>
      <w:r>
        <w:rPr>
          <w:rFonts w:ascii="Trebuchet MS" w:eastAsia="Trebuchet MS"/>
          <w:b/>
          <w:bCs/>
          <w:sz w:val="21"/>
        </w:rPr>
        <w:t>2</w:t>
      </w:r>
      <w:r>
        <w:rPr>
          <w:b/>
          <w:bCs/>
          <w:sz w:val="21"/>
        </w:rPr>
        <w:t>：</w:t>
      </w:r>
      <w:r>
        <w:rPr>
          <w:rFonts w:hint="eastAsia"/>
          <w:b/>
          <w:bCs/>
          <w:sz w:val="21"/>
          <w:lang w:val="en-US" w:eastAsia="zh-CN"/>
        </w:rPr>
        <w:t>本周燃料电池板块表现回顾</w:t>
      </w:r>
    </w:p>
    <w:p>
      <w:pPr>
        <w:tabs>
          <w:tab w:val="left" w:pos="1630"/>
          <w:tab w:val="left" w:pos="3006"/>
        </w:tabs>
        <w:spacing w:before="81"/>
        <w:ind w:right="0"/>
        <w:jc w:val="left"/>
        <w:rPr>
          <w:rFonts w:ascii="Times New Roman" w:eastAsia="Times New Roman"/>
          <w:sz w:val="18"/>
        </w:rPr>
      </w:pPr>
      <w:r>
        <w:br w:type="column"/>
      </w:r>
    </w:p>
    <w:p>
      <w:pPr>
        <w:pStyle w:val="4"/>
        <w:spacing w:before="8"/>
        <w:rPr>
          <w:rFonts w:ascii="Times New Roman"/>
          <w:sz w:val="16"/>
        </w:rPr>
      </w:pPr>
    </w:p>
    <w:p>
      <w:pPr>
        <w:spacing w:before="0"/>
        <w:ind w:left="3035" w:right="0" w:firstLine="0"/>
        <w:jc w:val="left"/>
        <w:rPr>
          <w:rFonts w:hint="default" w:eastAsia="宋体"/>
          <w:sz w:val="22"/>
          <w:lang w:val="en-US" w:eastAsia="zh-CN"/>
        </w:rPr>
      </w:pPr>
      <w:r>
        <w:pict>
          <v:line id="_x0000_s1284" o:spid="_x0000_s1284" o:spt="20" style="position:absolute;left:0pt;margin-left:50.25pt;margin-top:0.2pt;height:0pt;width:494pt;mso-position-horizontal-relative:page;z-index:251669504;mso-width-relative:page;mso-height-relative:page;" stroked="t" coordsize="21600,21600">
            <v:path arrowok="t"/>
            <v:fill focussize="0,0"/>
            <v:stroke weight="0.48pt" color="#4F81BC"/>
            <v:imagedata o:title=""/>
            <o:lock v:ext="edit"/>
          </v:line>
        </w:pict>
      </w:r>
      <w:r>
        <w:rPr>
          <w:rFonts w:hint="eastAsia"/>
          <w:sz w:val="22"/>
          <w:lang w:val="en-US" w:eastAsia="zh-CN"/>
        </w:rPr>
        <w:t xml:space="preserve">    </w:t>
      </w:r>
      <w:r>
        <w:rPr>
          <w:sz w:val="22"/>
        </w:rPr>
        <w:t>资料来源：</w:t>
      </w:r>
      <w:r>
        <w:rPr>
          <w:rFonts w:ascii="Times New Roman" w:eastAsia="Times New Roman"/>
          <w:i/>
          <w:sz w:val="21"/>
        </w:rPr>
        <w:t>Wind</w:t>
      </w:r>
      <w:r>
        <w:rPr>
          <w:rFonts w:hint="eastAsia" w:ascii="Times New Roman" w:eastAsia="宋体"/>
          <w:i/>
          <w:sz w:val="21"/>
          <w:lang w:eastAsia="zh-CN"/>
        </w:rPr>
        <w:t>、</w:t>
      </w:r>
      <w:r>
        <w:rPr>
          <w:rFonts w:hint="eastAsia" w:ascii="Times New Roman" w:eastAsia="宋体"/>
          <w:i/>
          <w:sz w:val="21"/>
          <w:lang w:val="en-US" w:eastAsia="zh-CN"/>
        </w:rPr>
        <w:t>氢能俱乐部</w:t>
      </w:r>
    </w:p>
    <w:p>
      <w:pPr>
        <w:spacing w:after="0"/>
        <w:jc w:val="left"/>
        <w:rPr>
          <w:rFonts w:hint="default" w:eastAsia="新宋体"/>
          <w:sz w:val="22"/>
          <w:lang w:val="en-US" w:eastAsia="zh-CN"/>
        </w:rPr>
        <w:sectPr>
          <w:type w:val="continuous"/>
          <w:pgSz w:w="11910" w:h="16840"/>
          <w:pgMar w:top="440" w:right="0" w:bottom="1260" w:left="120" w:header="720" w:footer="720" w:gutter="0"/>
          <w:cols w:equalWidth="0" w:num="2">
            <w:col w:w="4110" w:space="40"/>
            <w:col w:w="7640"/>
          </w:cols>
        </w:sectPr>
      </w:pPr>
      <w:r>
        <w:rPr>
          <w:rFonts w:hint="eastAsia"/>
          <w:sz w:val="22"/>
          <w:lang w:val="en-US" w:eastAsia="zh-CN"/>
        </w:rPr>
        <w:t xml:space="preserve"> </w:t>
      </w:r>
    </w:p>
    <w:p>
      <w:pPr>
        <w:pStyle w:val="4"/>
        <w:spacing w:line="20" w:lineRule="exact"/>
        <w:ind w:left="895"/>
        <w:rPr>
          <w:sz w:val="2"/>
        </w:rPr>
      </w:pPr>
      <w:r>
        <w:rPr>
          <w:sz w:val="2"/>
        </w:rPr>
        <w:pict>
          <v:group id="_x0000_s1290" o:spid="_x0000_s1290" o:spt="203" style="height:0.5pt;width:493.3pt;" coordsize="9866,10">
            <o:lock v:ext="edit"/>
            <v:line id="_x0000_s1291" o:spid="_x0000_s1291" o:spt="20" style="position:absolute;left:0;top:5;height:0;width:9866;" stroked="t" coordsize="21600,21600">
              <v:path arrowok="t"/>
              <v:fill focussize="0,0"/>
              <v:stroke weight="0.48pt" color="#4F81BC"/>
              <v:imagedata o:title=""/>
              <o:lock v:ext="edit"/>
            </v:line>
            <w10:wrap type="none"/>
            <w10:anchorlock/>
          </v:group>
        </w:pict>
      </w:r>
    </w:p>
    <w:p>
      <w:pPr>
        <w:spacing w:before="93"/>
        <w:ind w:right="0"/>
        <w:jc w:val="left"/>
        <w:rPr>
          <w:rFonts w:ascii="Times New Roman"/>
          <w:sz w:val="18"/>
        </w:rPr>
      </w:pPr>
    </w:p>
    <w:p>
      <w:pPr>
        <w:pStyle w:val="4"/>
        <w:spacing w:before="8"/>
        <w:rPr>
          <w:rFonts w:ascii="Times New Roman"/>
          <w:sz w:val="14"/>
        </w:rPr>
      </w:pPr>
    </w:p>
    <w:p>
      <w:pPr>
        <w:pStyle w:val="4"/>
        <w:spacing w:before="8"/>
        <w:rPr>
          <w:rFonts w:ascii="Times New Roman"/>
          <w:sz w:val="14"/>
        </w:rPr>
      </w:pPr>
      <w:r>
        <w:rPr>
          <w:sz w:val="18"/>
        </w:rPr>
        <w:pict>
          <v:shape id="_x0000_s3226" o:spid="_x0000_s3226" o:spt="202" type="#_x0000_t202" style="position:absolute;left:0pt;margin-left:40.8pt;margin-top:4.55pt;height:197.5pt;width:507.5pt;z-index:243238912;mso-width-relative:page;mso-height-relative:page;" fillcolor="#FFFFFF" filled="t" stroked="f" coordsize="21600,21600">
            <v:path/>
            <v:fill on="t" focussize="0,0"/>
            <v:stroke on="f"/>
            <v:imagedata o:title=""/>
            <o:lock v:ext="edit" aspectratio="f"/>
            <v:textbox>
              <w:txbxContent>
                <w:p>
                  <w:pPr>
                    <w:rPr>
                      <w:rFonts w:hint="eastAsia" w:eastAsia="新宋体"/>
                      <w:lang w:eastAsia="zh-CN"/>
                    </w:rPr>
                  </w:pPr>
                  <w:r>
                    <w:rPr>
                      <w:rFonts w:hint="eastAsia" w:eastAsia="新宋体"/>
                      <w:lang w:eastAsia="zh-CN"/>
                    </w:rPr>
                    <w:drawing>
                      <wp:inline distT="0" distB="0" distL="114300" distR="114300">
                        <wp:extent cx="6160135" cy="2403475"/>
                        <wp:effectExtent l="0" t="0" r="12065" b="15875"/>
                        <wp:docPr id="46" name="图片 46" descr="67e0100fe68c2b9e3d03722e8fdd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7e0100fe68c2b9e3d03722e8fdde5c"/>
                                <pic:cNvPicPr>
                                  <a:picLocks noChangeAspect="1"/>
                                </pic:cNvPicPr>
                              </pic:nvPicPr>
                              <pic:blipFill>
                                <a:blip r:embed="rId14"/>
                                <a:stretch>
                                  <a:fillRect/>
                                </a:stretch>
                              </pic:blipFill>
                              <pic:spPr>
                                <a:xfrm>
                                  <a:off x="0" y="0"/>
                                  <a:ext cx="6160135" cy="2403475"/>
                                </a:xfrm>
                                <a:prstGeom prst="rect">
                                  <a:avLst/>
                                </a:prstGeom>
                              </pic:spPr>
                            </pic:pic>
                          </a:graphicData>
                        </a:graphic>
                      </wp:inline>
                    </w:drawing>
                  </w:r>
                </w:p>
              </w:txbxContent>
            </v:textbox>
          </v:shape>
        </w:pict>
      </w:r>
    </w:p>
    <w:p>
      <w:pPr>
        <w:pStyle w:val="4"/>
        <w:spacing w:before="8"/>
        <w:rPr>
          <w:rFonts w:ascii="Times New Roman"/>
          <w:sz w:val="14"/>
        </w:rPr>
      </w:pPr>
    </w:p>
    <w:p>
      <w:pPr>
        <w:pStyle w:val="4"/>
        <w:spacing w:before="8"/>
        <w:rPr>
          <w:rFonts w:ascii="Times New Roman"/>
          <w:sz w:val="14"/>
        </w:rPr>
      </w:pPr>
    </w:p>
    <w:p>
      <w:pPr>
        <w:pStyle w:val="4"/>
        <w:spacing w:before="8"/>
        <w:rPr>
          <w:rFonts w:ascii="Times New Roman"/>
          <w:sz w:val="14"/>
        </w:rPr>
      </w:pPr>
    </w:p>
    <w:p>
      <w:pPr>
        <w:pStyle w:val="4"/>
        <w:spacing w:before="8"/>
        <w:rPr>
          <w:rFonts w:ascii="Times New Roman"/>
          <w:sz w:val="14"/>
        </w:rPr>
      </w:pPr>
    </w:p>
    <w:p>
      <w:pPr>
        <w:pStyle w:val="4"/>
        <w:spacing w:before="8"/>
        <w:rPr>
          <w:rFonts w:ascii="Times New Roman"/>
          <w:sz w:val="14"/>
        </w:rPr>
      </w:pPr>
    </w:p>
    <w:p>
      <w:pPr>
        <w:spacing w:before="92"/>
        <w:ind w:left="1464" w:right="0" w:firstLine="0"/>
        <w:jc w:val="left"/>
        <w:rPr>
          <w:rFonts w:ascii="Times New Roman"/>
          <w:sz w:val="18"/>
        </w:rPr>
      </w:pPr>
    </w:p>
    <w:p>
      <w:pPr>
        <w:pStyle w:val="4"/>
        <w:spacing w:before="8"/>
        <w:rPr>
          <w:rFonts w:ascii="Times New Roman"/>
          <w:sz w:val="14"/>
        </w:rPr>
      </w:pPr>
    </w:p>
    <w:p>
      <w:pPr>
        <w:spacing w:before="92"/>
        <w:ind w:left="1554" w:right="0" w:firstLine="0"/>
        <w:jc w:val="left"/>
        <w:rPr>
          <w:rFonts w:ascii="Times New Roman"/>
          <w:sz w:val="18"/>
        </w:rPr>
      </w:pPr>
      <w:r>
        <w:rPr>
          <w:rFonts w:ascii="Times New Roman"/>
          <w:color w:val="585858"/>
          <w:sz w:val="18"/>
        </w:rPr>
        <w:t>0%</w:t>
      </w:r>
    </w:p>
    <w:p>
      <w:pPr>
        <w:pStyle w:val="4"/>
        <w:spacing w:before="8"/>
        <w:rPr>
          <w:rFonts w:ascii="Times New Roman"/>
          <w:sz w:val="14"/>
        </w:rPr>
      </w:pPr>
    </w:p>
    <w:p>
      <w:pPr>
        <w:spacing w:before="92"/>
        <w:ind w:left="1404" w:right="0" w:firstLine="0"/>
        <w:jc w:val="left"/>
        <w:rPr>
          <w:rFonts w:ascii="Times New Roman"/>
          <w:sz w:val="18"/>
        </w:rPr>
      </w:pPr>
      <w:r>
        <w:rPr>
          <w:rFonts w:ascii="Times New Roman"/>
          <w:color w:val="585858"/>
          <w:sz w:val="18"/>
        </w:rPr>
        <w:t>-10%</w:t>
      </w:r>
    </w:p>
    <w:p>
      <w:pPr>
        <w:pStyle w:val="4"/>
        <w:spacing w:before="8"/>
        <w:rPr>
          <w:rFonts w:ascii="Times New Roman"/>
          <w:sz w:val="14"/>
        </w:rPr>
      </w:pPr>
    </w:p>
    <w:p>
      <w:pPr>
        <w:spacing w:before="93"/>
        <w:ind w:left="1404" w:right="0" w:firstLine="0"/>
        <w:jc w:val="left"/>
        <w:rPr>
          <w:rFonts w:ascii="Times New Roman"/>
          <w:sz w:val="18"/>
        </w:rPr>
      </w:pPr>
      <w:r>
        <w:rPr>
          <w:rFonts w:ascii="Times New Roman"/>
          <w:color w:val="585858"/>
          <w:sz w:val="18"/>
        </w:rPr>
        <w:t>-20%</w:t>
      </w:r>
    </w:p>
    <w:p>
      <w:pPr>
        <w:pStyle w:val="4"/>
        <w:spacing w:before="7"/>
        <w:rPr>
          <w:rFonts w:ascii="Times New Roman"/>
          <w:sz w:val="14"/>
        </w:rPr>
      </w:pPr>
    </w:p>
    <w:p>
      <w:pPr>
        <w:spacing w:after="0"/>
        <w:rPr>
          <w:rFonts w:ascii="Times New Roman"/>
          <w:sz w:val="14"/>
        </w:rPr>
        <w:sectPr>
          <w:type w:val="continuous"/>
          <w:pgSz w:w="11910" w:h="16840"/>
          <w:pgMar w:top="440" w:right="0" w:bottom="1260" w:left="120" w:header="720" w:footer="720" w:gutter="0"/>
        </w:sectPr>
      </w:pPr>
    </w:p>
    <w:p>
      <w:pPr>
        <w:spacing w:before="93"/>
        <w:ind w:left="0" w:right="0" w:firstLine="0"/>
        <w:jc w:val="right"/>
        <w:rPr>
          <w:rFonts w:ascii="Times New Roman"/>
          <w:sz w:val="18"/>
        </w:rPr>
      </w:pPr>
      <w:r>
        <w:rPr>
          <w:rFonts w:ascii="Times New Roman"/>
          <w:color w:val="585858"/>
          <w:sz w:val="18"/>
        </w:rPr>
        <w:t>-30%</w:t>
      </w:r>
    </w:p>
    <w:p>
      <w:pPr>
        <w:pStyle w:val="4"/>
        <w:rPr>
          <w:rFonts w:ascii="Times New Roman"/>
          <w:sz w:val="18"/>
        </w:rPr>
      </w:pPr>
      <w:r>
        <w:br w:type="column"/>
      </w:r>
    </w:p>
    <w:p>
      <w:pPr>
        <w:spacing w:before="119" w:line="187" w:lineRule="auto"/>
        <w:ind w:left="160" w:right="2042" w:firstLine="0"/>
        <w:jc w:val="left"/>
        <w:rPr>
          <w:sz w:val="18"/>
        </w:rPr>
      </w:pPr>
      <w:r>
        <w:pict>
          <v:shape id="_x0000_s1352" o:spid="_x0000_s1352" o:spt="202" type="#_x0000_t202" style="position:absolute;left:0pt;margin-left:320.1pt;margin-top:22.05pt;height:15.7pt;width:12pt;mso-position-horizontal-relative:page;z-index:-260267008;mso-width-relative:page;mso-height-relative:page;" filled="f" stroked="f" coordsize="21600,21600">
            <v:path/>
            <v:fill on="f" focussize="0,0"/>
            <v:stroke on="f" joinstyle="miter"/>
            <v:imagedata o:title=""/>
            <o:lock v:ext="edit"/>
            <v:textbox inset="0mm,0mm,0mm,0mm" style="layout-flow:vertical;">
              <w:txbxContent>
                <w:p>
                  <w:pPr>
                    <w:spacing w:before="12"/>
                    <w:ind w:left="20" w:right="0" w:firstLine="0"/>
                    <w:jc w:val="left"/>
                    <w:rPr>
                      <w:rFonts w:ascii="Times New Roman"/>
                      <w:sz w:val="18"/>
                    </w:rPr>
                  </w:pPr>
                  <w:r>
                    <w:rPr>
                      <w:rFonts w:ascii="Times New Roman"/>
                      <w:color w:val="585858"/>
                      <w:sz w:val="18"/>
                    </w:rPr>
                    <w:t>300</w:t>
                  </w:r>
                </w:p>
              </w:txbxContent>
            </v:textbox>
          </v:shape>
        </w:pict>
      </w:r>
      <w:r>
        <w:rPr>
          <w:color w:val="585858"/>
          <w:sz w:val="18"/>
        </w:rPr>
        <w:t>医 电 食 计 电 休 传 商 农 建 通 综 国 机 化 轻 沪 汽 家 有 公 纺 建 钢 房 交 非 银 采药 子 品 算 气 闲 媒 业 林 筑 信 合 防 械 工 工 深 车 用 色 用 织 筑 铁 地 通 银 行 掘</w:t>
      </w:r>
    </w:p>
    <w:p>
      <w:pPr>
        <w:spacing w:after="0" w:line="187" w:lineRule="auto"/>
        <w:jc w:val="left"/>
        <w:rPr>
          <w:sz w:val="18"/>
        </w:rPr>
        <w:sectPr>
          <w:type w:val="continuous"/>
          <w:pgSz w:w="11910" w:h="16840"/>
          <w:pgMar w:top="440" w:right="0" w:bottom="1260" w:left="120" w:header="720" w:footer="720" w:gutter="0"/>
          <w:cols w:equalWidth="0" w:num="2">
            <w:col w:w="1794" w:space="40"/>
            <w:col w:w="9956"/>
          </w:cols>
        </w:sectPr>
      </w:pPr>
    </w:p>
    <w:p>
      <w:pPr>
        <w:tabs>
          <w:tab w:val="left" w:pos="2534"/>
        </w:tabs>
        <w:spacing w:before="0" w:line="164" w:lineRule="exact"/>
        <w:ind w:left="1994" w:right="0" w:firstLine="0"/>
        <w:jc w:val="left"/>
        <w:rPr>
          <w:sz w:val="18"/>
        </w:rPr>
      </w:pPr>
      <w:r>
        <w:rPr>
          <w:color w:val="585858"/>
          <w:sz w:val="18"/>
        </w:rPr>
        <w:t>生</w:t>
      </w:r>
      <w:r>
        <w:rPr>
          <w:color w:val="585858"/>
          <w:sz w:val="18"/>
        </w:rPr>
        <w:tab/>
      </w:r>
      <w:r>
        <w:rPr>
          <w:color w:val="585858"/>
          <w:sz w:val="18"/>
        </w:rPr>
        <w:t xml:space="preserve">饮 机 设 </w:t>
      </w:r>
      <w:r>
        <w:rPr>
          <w:color w:val="585858"/>
          <w:spacing w:val="-19"/>
          <w:sz w:val="18"/>
        </w:rPr>
        <w:t>服</w:t>
      </w:r>
    </w:p>
    <w:p>
      <w:pPr>
        <w:spacing w:before="0" w:line="164" w:lineRule="exact"/>
        <w:ind w:left="320" w:right="0" w:firstLine="0"/>
        <w:jc w:val="left"/>
        <w:rPr>
          <w:sz w:val="18"/>
        </w:rPr>
      </w:pPr>
      <w:r>
        <w:br w:type="column"/>
      </w:r>
      <w:r>
        <w:rPr>
          <w:color w:val="585858"/>
          <w:sz w:val="18"/>
        </w:rPr>
        <w:t>贸 牧 材</w:t>
      </w:r>
    </w:p>
    <w:p>
      <w:pPr>
        <w:tabs>
          <w:tab w:val="left" w:pos="1400"/>
        </w:tabs>
        <w:spacing w:before="0" w:line="164" w:lineRule="exact"/>
        <w:ind w:left="590" w:right="0" w:firstLine="0"/>
        <w:jc w:val="left"/>
        <w:rPr>
          <w:sz w:val="18"/>
        </w:rPr>
      </w:pPr>
      <w:r>
        <w:br w:type="column"/>
      </w:r>
      <w:r>
        <w:rPr>
          <w:color w:val="585858"/>
          <w:sz w:val="18"/>
        </w:rPr>
        <w:t>军 设</w:t>
      </w:r>
      <w:r>
        <w:rPr>
          <w:color w:val="585858"/>
          <w:sz w:val="18"/>
        </w:rPr>
        <w:tab/>
      </w:r>
      <w:r>
        <w:rPr>
          <w:color w:val="585858"/>
          <w:spacing w:val="-20"/>
          <w:sz w:val="18"/>
        </w:rPr>
        <w:t>制</w:t>
      </w:r>
    </w:p>
    <w:p>
      <w:pPr>
        <w:spacing w:before="0" w:line="164" w:lineRule="exact"/>
        <w:ind w:left="590" w:right="0" w:firstLine="0"/>
        <w:jc w:val="left"/>
        <w:rPr>
          <w:sz w:val="18"/>
        </w:rPr>
      </w:pPr>
      <w:r>
        <w:br w:type="column"/>
      </w:r>
      <w:r>
        <w:rPr>
          <w:color w:val="585858"/>
          <w:sz w:val="18"/>
        </w:rPr>
        <w:t>电 金 事 服 装</w:t>
      </w:r>
    </w:p>
    <w:p>
      <w:pPr>
        <w:spacing w:before="0" w:line="164" w:lineRule="exact"/>
        <w:ind w:left="320" w:right="0" w:firstLine="0"/>
        <w:jc w:val="left"/>
        <w:rPr>
          <w:sz w:val="18"/>
        </w:rPr>
      </w:pPr>
      <w:r>
        <w:br w:type="column"/>
      </w:r>
      <w:r>
        <w:rPr>
          <w:color w:val="585858"/>
          <w:sz w:val="18"/>
        </w:rPr>
        <w:t>产 运 金</w:t>
      </w:r>
    </w:p>
    <w:p>
      <w:pPr>
        <w:spacing w:after="0" w:line="164" w:lineRule="exact"/>
        <w:jc w:val="left"/>
        <w:rPr>
          <w:sz w:val="18"/>
        </w:rPr>
        <w:sectPr>
          <w:type w:val="continuous"/>
          <w:pgSz w:w="11910" w:h="16840"/>
          <w:pgMar w:top="440" w:right="0" w:bottom="1260" w:left="120" w:header="720" w:footer="720" w:gutter="0"/>
          <w:cols w:equalWidth="0" w:num="5">
            <w:col w:w="3526" w:space="40"/>
            <w:col w:w="1042" w:space="39"/>
            <w:col w:w="1581" w:space="40"/>
            <w:col w:w="1852" w:space="40"/>
            <w:col w:w="3630"/>
          </w:cols>
        </w:sectPr>
      </w:pPr>
    </w:p>
    <w:p>
      <w:pPr>
        <w:tabs>
          <w:tab w:val="left" w:pos="2534"/>
          <w:tab w:val="left" w:pos="3074"/>
        </w:tabs>
        <w:spacing w:before="0" w:line="205" w:lineRule="exact"/>
        <w:ind w:left="1994" w:right="0" w:firstLine="0"/>
        <w:jc w:val="left"/>
        <w:rPr>
          <w:sz w:val="18"/>
        </w:rPr>
      </w:pPr>
      <w:r>
        <w:rPr>
          <w:color w:val="585858"/>
          <w:sz w:val="18"/>
        </w:rPr>
        <w:t>物</w:t>
      </w:r>
      <w:r>
        <w:rPr>
          <w:color w:val="585858"/>
          <w:sz w:val="18"/>
        </w:rPr>
        <w:tab/>
      </w:r>
      <w:r>
        <w:rPr>
          <w:color w:val="585858"/>
          <w:sz w:val="18"/>
        </w:rPr>
        <w:t>料</w:t>
      </w:r>
      <w:r>
        <w:rPr>
          <w:color w:val="585858"/>
          <w:sz w:val="18"/>
        </w:rPr>
        <w:tab/>
      </w:r>
      <w:r>
        <w:rPr>
          <w:color w:val="585858"/>
          <w:sz w:val="18"/>
        </w:rPr>
        <w:t xml:space="preserve">备 </w:t>
      </w:r>
      <w:r>
        <w:rPr>
          <w:color w:val="585858"/>
          <w:spacing w:val="-19"/>
          <w:sz w:val="18"/>
        </w:rPr>
        <w:t>务</w:t>
      </w:r>
    </w:p>
    <w:p>
      <w:pPr>
        <w:spacing w:before="0" w:line="206" w:lineRule="exact"/>
        <w:ind w:left="320" w:right="0" w:firstLine="0"/>
        <w:jc w:val="left"/>
        <w:rPr>
          <w:sz w:val="18"/>
        </w:rPr>
      </w:pPr>
      <w:r>
        <w:br w:type="column"/>
      </w:r>
      <w:r>
        <w:rPr>
          <w:color w:val="585858"/>
          <w:sz w:val="18"/>
        </w:rPr>
        <w:t>易 渔 料</w:t>
      </w:r>
    </w:p>
    <w:p>
      <w:pPr>
        <w:tabs>
          <w:tab w:val="left" w:pos="1400"/>
        </w:tabs>
        <w:spacing w:before="0" w:line="196" w:lineRule="auto"/>
        <w:ind w:left="590" w:right="0" w:firstLine="0"/>
        <w:jc w:val="left"/>
        <w:rPr>
          <w:sz w:val="18"/>
        </w:rPr>
      </w:pPr>
      <w:r>
        <w:br w:type="column"/>
      </w:r>
      <w:r>
        <w:rPr>
          <w:color w:val="585858"/>
          <w:sz w:val="18"/>
        </w:rPr>
        <w:t>工 备</w:t>
      </w:r>
      <w:r>
        <w:rPr>
          <w:color w:val="585858"/>
          <w:sz w:val="18"/>
        </w:rPr>
        <w:tab/>
      </w:r>
      <w:r>
        <w:rPr>
          <w:color w:val="585858"/>
          <w:sz w:val="18"/>
        </w:rPr>
        <w:t xml:space="preserve">造 </w:t>
      </w:r>
      <w:r>
        <w:rPr>
          <w:color w:val="585858"/>
          <w:spacing w:val="-19"/>
          <w:position w:val="-8"/>
          <w:sz w:val="18"/>
        </w:rPr>
        <w:t>指</w:t>
      </w:r>
    </w:p>
    <w:p>
      <w:pPr>
        <w:spacing w:before="0" w:line="206" w:lineRule="exact"/>
        <w:ind w:left="0" w:right="0" w:firstLine="0"/>
        <w:jc w:val="right"/>
        <w:rPr>
          <w:sz w:val="18"/>
        </w:rPr>
      </w:pPr>
    </w:p>
    <w:p>
      <w:pPr>
        <w:tabs>
          <w:tab w:val="left" w:pos="2212"/>
        </w:tabs>
        <w:spacing w:before="0" w:line="205" w:lineRule="exact"/>
        <w:ind w:left="320" w:right="0" w:firstLine="0"/>
        <w:jc w:val="left"/>
        <w:rPr>
          <w:sz w:val="18"/>
        </w:rPr>
      </w:pPr>
      <w:r>
        <w:br w:type="column"/>
      </w:r>
      <w:r>
        <w:rPr>
          <w:color w:val="585858"/>
          <w:sz w:val="18"/>
        </w:rPr>
        <w:t>器 属 业 装 饰</w:t>
      </w:r>
      <w:r>
        <w:rPr>
          <w:color w:val="585858"/>
          <w:sz w:val="18"/>
        </w:rPr>
        <w:tab/>
      </w:r>
      <w:r>
        <w:rPr>
          <w:color w:val="585858"/>
          <w:sz w:val="18"/>
        </w:rPr>
        <w:t>输 融</w:t>
      </w:r>
    </w:p>
    <w:p>
      <w:pPr>
        <w:spacing w:after="0" w:line="205" w:lineRule="exact"/>
        <w:jc w:val="left"/>
        <w:rPr>
          <w:sz w:val="18"/>
        </w:rPr>
        <w:sectPr>
          <w:type w:val="continuous"/>
          <w:pgSz w:w="11910" w:h="16840"/>
          <w:pgMar w:top="440" w:right="0" w:bottom="1260" w:left="120" w:header="720" w:footer="720" w:gutter="0"/>
          <w:cols w:equalWidth="0" w:num="4">
            <w:col w:w="3526" w:space="40"/>
            <w:col w:w="1042" w:space="39"/>
            <w:col w:w="1852" w:space="40"/>
            <w:col w:w="5251"/>
          </w:cols>
        </w:sectPr>
      </w:pPr>
    </w:p>
    <w:p>
      <w:pPr>
        <w:pStyle w:val="4"/>
        <w:rPr>
          <w:sz w:val="20"/>
        </w:rPr>
      </w:pPr>
    </w:p>
    <w:p>
      <w:pPr>
        <w:pStyle w:val="4"/>
        <w:spacing w:before="8"/>
        <w:rPr>
          <w:sz w:val="13"/>
        </w:rPr>
      </w:pPr>
    </w:p>
    <w:p>
      <w:pPr>
        <w:pStyle w:val="4"/>
        <w:spacing w:line="20" w:lineRule="exact"/>
        <w:ind w:left="880"/>
        <w:rPr>
          <w:sz w:val="2"/>
        </w:rPr>
      </w:pPr>
      <w:r>
        <w:rPr>
          <w:sz w:val="2"/>
        </w:rPr>
        <w:pict>
          <v:group id="_x0000_s1353" o:spid="_x0000_s1353" o:spt="203" style="height:0.5pt;width:494.05pt;" coordsize="9881,10">
            <o:lock v:ext="edit"/>
            <v:line id="_x0000_s1354" o:spid="_x0000_s1354" o:spt="20" style="position:absolute;left:0;top:5;height:0;width:9880;" stroked="t" coordsize="21600,21600">
              <v:path arrowok="t"/>
              <v:fill focussize="0,0"/>
              <v:stroke weight="0.48pt" color="#4F81BC"/>
              <v:imagedata o:title=""/>
              <o:lock v:ext="edit"/>
            </v:line>
            <w10:wrap type="none"/>
            <w10:anchorlock/>
          </v:group>
        </w:pict>
      </w:r>
    </w:p>
    <w:p>
      <w:pPr>
        <w:spacing w:before="0" w:line="263" w:lineRule="exact"/>
        <w:ind w:left="7184" w:right="0" w:firstLine="0"/>
        <w:jc w:val="left"/>
        <w:rPr>
          <w:rFonts w:hint="default" w:eastAsia="宋体"/>
          <w:sz w:val="22"/>
          <w:lang w:val="en-US" w:eastAsia="zh-CN"/>
        </w:rPr>
        <w:sectPr>
          <w:type w:val="continuous"/>
          <w:pgSz w:w="11910" w:h="16840"/>
          <w:pgMar w:top="440" w:right="0" w:bottom="1260" w:left="120" w:header="720" w:footer="720" w:gutter="0"/>
        </w:sectPr>
      </w:pPr>
      <w:r>
        <w:rPr>
          <w:rFonts w:hint="eastAsia"/>
          <w:sz w:val="22"/>
          <w:lang w:val="en-US" w:eastAsia="zh-CN"/>
        </w:rPr>
        <w:t xml:space="preserve">    </w:t>
      </w:r>
      <w:r>
        <w:rPr>
          <w:sz w:val="22"/>
        </w:rPr>
        <w:t>资料来源：</w:t>
      </w:r>
      <w:r>
        <w:rPr>
          <w:rFonts w:ascii="Times New Roman" w:eastAsia="Times New Roman"/>
          <w:i/>
          <w:sz w:val="21"/>
        </w:rPr>
        <w:t>Wind</w:t>
      </w:r>
      <w:r>
        <w:rPr>
          <w:rFonts w:hint="eastAsia" w:ascii="Times New Roman" w:eastAsia="宋体"/>
          <w:i/>
          <w:sz w:val="21"/>
          <w:lang w:eastAsia="zh-CN"/>
        </w:rPr>
        <w:t>、</w:t>
      </w:r>
      <w:r>
        <w:rPr>
          <w:rFonts w:hint="eastAsia" w:ascii="Times New Roman" w:eastAsia="宋体"/>
          <w:i/>
          <w:sz w:val="21"/>
          <w:lang w:val="en-US" w:eastAsia="zh-CN"/>
        </w:rPr>
        <w:t>氢能俱乐部</w:t>
      </w:r>
    </w:p>
    <w:p>
      <w:pPr>
        <w:pStyle w:val="4"/>
        <w:spacing w:before="5"/>
        <w:rPr>
          <w:sz w:val="16"/>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pStyle w:val="4"/>
        <w:numPr>
          <w:ilvl w:val="0"/>
          <w:numId w:val="0"/>
        </w:numPr>
        <w:spacing w:before="14"/>
        <w:ind w:left="905" w:leftChars="0" w:right="0" w:rightChars="0"/>
        <w:rPr>
          <w:rFonts w:hint="default" w:ascii="微软雅黑"/>
          <w:b/>
          <w:sz w:val="19"/>
          <w:lang w:val="en-US" w:eastAsia="zh-CN"/>
        </w:rPr>
      </w:pPr>
      <w:r>
        <w:rPr>
          <w:rFonts w:hint="eastAsia" w:ascii="微软雅黑"/>
          <w:b/>
          <w:sz w:val="21"/>
          <w:szCs w:val="21"/>
          <w:lang w:val="en-US" w:eastAsia="zh-CN"/>
        </w:rPr>
        <w:t>1.2各股涨跌幅情况</w:t>
      </w:r>
    </w:p>
    <w:p>
      <w:pPr>
        <w:pStyle w:val="4"/>
        <w:numPr>
          <w:ilvl w:val="0"/>
          <w:numId w:val="0"/>
        </w:numPr>
        <w:spacing w:before="14"/>
        <w:ind w:right="0" w:rightChars="0"/>
        <w:rPr>
          <w:rFonts w:hint="default" w:ascii="微软雅黑"/>
          <w:b/>
          <w:sz w:val="19"/>
          <w:lang w:val="en-US" w:eastAsia="zh-CN"/>
        </w:rPr>
      </w:pPr>
    </w:p>
    <w:p>
      <w:pPr>
        <w:spacing w:before="102" w:after="18"/>
        <w:ind w:left="900" w:right="0" w:firstLine="0"/>
        <w:jc w:val="left"/>
        <w:rPr>
          <w:rFonts w:hint="default"/>
          <w:sz w:val="21"/>
          <w:lang w:val="en-US"/>
        </w:rPr>
      </w:pPr>
      <w:r>
        <w:rPr>
          <w:rFonts w:hint="eastAsia" w:ascii="Arial" w:eastAsia="宋体"/>
          <w:b/>
          <w:sz w:val="22"/>
          <w:lang w:val="en-US" w:eastAsia="zh-CN"/>
        </w:rPr>
        <w:t>图三  周涨幅前十</w:t>
      </w:r>
    </w:p>
    <w:p>
      <w:pPr>
        <w:pStyle w:val="4"/>
        <w:spacing w:line="20" w:lineRule="exact"/>
        <w:ind w:left="895"/>
        <w:rPr>
          <w:sz w:val="2"/>
        </w:rPr>
      </w:pPr>
      <w:r>
        <w:rPr>
          <w:sz w:val="2"/>
        </w:rPr>
        <w:pict>
          <v:group id="_x0000_s3237" o:spid="_x0000_s3237" o:spt="203" style="height:0.5pt;width:493.3pt;" coordsize="9866,10">
            <o:lock v:ext="edit" aspectratio="f"/>
            <v:line id="_x0000_s3238" o:spid="_x0000_s3238" o:spt="20" style="position:absolute;left:0;top:5;height:0;width:9866;" filled="f" stroked="t" coordsize="21600,21600">
              <v:path arrowok="t"/>
              <v:fill on="f" focussize="0,0"/>
              <v:stroke weight="0.48pt" color="#4F81BC"/>
              <v:imagedata o:title=""/>
              <o:lock v:ext="edit" aspectratio="f"/>
            </v:line>
            <w10:wrap type="none"/>
            <w10:anchorlock/>
          </v:group>
        </w:pict>
      </w: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r>
        <w:rPr>
          <w:rFonts w:hint="eastAsia" w:ascii="Times New Roman"/>
          <w:sz w:val="18"/>
          <w:lang w:val="en-US" w:eastAsia="zh-CN"/>
        </w:rPr>
        <w:t xml:space="preserve"> </w:t>
      </w:r>
    </w:p>
    <w:p>
      <w:pPr>
        <w:spacing w:before="96"/>
        <w:ind w:left="705" w:right="0" w:firstLine="0"/>
        <w:jc w:val="left"/>
        <w:rPr>
          <w:rFonts w:ascii="Trebuchet MS" w:eastAsia="Trebuchet MS"/>
          <w:sz w:val="21"/>
        </w:rPr>
      </w:pPr>
    </w:p>
    <w:tbl>
      <w:tblPr>
        <w:tblStyle w:val="10"/>
        <w:tblpPr w:leftFromText="180" w:rightFromText="180" w:vertAnchor="text" w:horzAnchor="page" w:tblpX="1183" w:tblpY="-88"/>
        <w:tblOverlap w:val="never"/>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766"/>
        <w:gridCol w:w="1554"/>
        <w:gridCol w:w="1814"/>
        <w:gridCol w:w="3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shd w:val="clear" w:color="auto" w:fill="F1F1F1" w:themeFill="background1" w:themeFillShade="F2"/>
            <w:vAlign w:val="center"/>
          </w:tcPr>
          <w:p>
            <w:pPr>
              <w:jc w:val="center"/>
              <w:rPr>
                <w:rFonts w:hint="eastAsia"/>
                <w:b/>
                <w:bCs/>
                <w:sz w:val="28"/>
                <w:szCs w:val="28"/>
                <w:lang w:val="en-US" w:eastAsia="zh-CN"/>
              </w:rPr>
            </w:pPr>
            <w:r>
              <w:rPr>
                <w:rFonts w:hint="eastAsia"/>
                <w:b/>
                <w:bCs/>
                <w:sz w:val="28"/>
                <w:szCs w:val="28"/>
                <w:lang w:val="en-US" w:eastAsia="zh-CN"/>
              </w:rPr>
              <w:t>福田汽车</w:t>
            </w:r>
          </w:p>
          <w:p>
            <w:pPr>
              <w:jc w:val="center"/>
              <w:rPr>
                <w:rFonts w:hint="default"/>
                <w:b/>
                <w:bCs/>
                <w:sz w:val="28"/>
                <w:szCs w:val="28"/>
                <w:lang w:val="en-US" w:eastAsia="zh-CN"/>
              </w:rPr>
            </w:pPr>
            <w:r>
              <w:rPr>
                <w:b/>
                <w:bCs/>
                <w:sz w:val="28"/>
                <w:szCs w:val="28"/>
              </w:rPr>
              <w:t>600166</w:t>
            </w:r>
          </w:p>
        </w:tc>
        <w:tc>
          <w:tcPr>
            <w:tcW w:w="766" w:type="dxa"/>
            <w:shd w:val="clear" w:color="auto" w:fill="F1F1F1" w:themeFill="background1" w:themeFillShade="F2"/>
            <w:vAlign w:val="center"/>
          </w:tcPr>
          <w:p>
            <w:pPr>
              <w:jc w:val="center"/>
              <w:rPr>
                <w:rFonts w:hint="default"/>
                <w:b/>
                <w:bCs/>
                <w:color w:val="FF0000"/>
                <w:sz w:val="21"/>
                <w:szCs w:val="21"/>
                <w:lang w:val="en-US" w:eastAsia="zh-CN"/>
              </w:rPr>
            </w:pPr>
            <w:r>
              <w:rPr>
                <w:b/>
                <w:bCs/>
                <w:color w:val="FF0000"/>
                <w:sz w:val="21"/>
                <w:szCs w:val="21"/>
              </w:rPr>
              <w:t>3.16</w:t>
            </w:r>
          </w:p>
        </w:tc>
        <w:tc>
          <w:tcPr>
            <w:tcW w:w="1554" w:type="dxa"/>
            <w:shd w:val="clear" w:color="auto" w:fill="F1F1F1" w:themeFill="background1" w:themeFillShade="F2"/>
            <w:vAlign w:val="center"/>
          </w:tcPr>
          <w:p>
            <w:pPr>
              <w:ind w:firstLine="361" w:firstLineChars="200"/>
              <w:jc w:val="center"/>
              <w:rPr>
                <w:b/>
                <w:bCs/>
                <w:color w:val="FF0000"/>
                <w:sz w:val="18"/>
                <w:szCs w:val="18"/>
              </w:rPr>
            </w:pPr>
            <w:r>
              <w:rPr>
                <w:b/>
                <w:bCs/>
                <w:color w:val="FF0000"/>
                <w:sz w:val="18"/>
                <w:szCs w:val="18"/>
              </w:rPr>
              <w:drawing>
                <wp:anchor distT="0" distB="0" distL="114300" distR="114300" simplePos="0" relativeHeight="251912192" behindDoc="0" locked="0" layoutInCell="1" allowOverlap="1">
                  <wp:simplePos x="0" y="0"/>
                  <wp:positionH relativeFrom="column">
                    <wp:posOffset>59055</wp:posOffset>
                  </wp:positionH>
                  <wp:positionV relativeFrom="paragraph">
                    <wp:posOffset>130175</wp:posOffset>
                  </wp:positionV>
                  <wp:extent cx="171450" cy="295275"/>
                  <wp:effectExtent l="0" t="0" r="0" b="9525"/>
                  <wp:wrapNone/>
                  <wp:docPr id="8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p>
          <w:p>
            <w:pPr>
              <w:ind w:firstLine="361" w:firstLineChars="200"/>
              <w:jc w:val="center"/>
              <w:rPr>
                <w:b/>
                <w:bCs/>
                <w:color w:val="FF0000"/>
                <w:sz w:val="18"/>
                <w:szCs w:val="18"/>
              </w:rPr>
            </w:pPr>
            <w:r>
              <w:rPr>
                <w:b/>
                <w:bCs/>
                <w:color w:val="FF0000"/>
                <w:sz w:val="18"/>
                <w:szCs w:val="18"/>
              </w:rPr>
              <w:t>0.29</w:t>
            </w:r>
          </w:p>
          <w:p>
            <w:pPr>
              <w:ind w:firstLine="361" w:firstLineChars="200"/>
              <w:jc w:val="center"/>
              <w:rPr>
                <w:rFonts w:hint="default"/>
                <w:b/>
                <w:bCs/>
                <w:color w:val="FF0000"/>
                <w:lang w:val="en-US" w:eastAsia="zh-CN"/>
              </w:rPr>
            </w:pPr>
            <w:r>
              <w:rPr>
                <w:b/>
                <w:bCs/>
                <w:color w:val="FF0000"/>
                <w:sz w:val="18"/>
                <w:szCs w:val="18"/>
              </w:rPr>
              <w:t>10.10</w:t>
            </w:r>
            <w:r>
              <w:rPr>
                <w:rFonts w:hint="default"/>
                <w:b/>
                <w:bCs/>
                <w:color w:val="FF0000"/>
                <w:sz w:val="18"/>
                <w:szCs w:val="18"/>
              </w:rPr>
              <w:t>%</w:t>
            </w:r>
          </w:p>
        </w:tc>
        <w:tc>
          <w:tcPr>
            <w:tcW w:w="1814" w:type="dxa"/>
            <w:shd w:val="clear" w:color="auto" w:fill="F1F1F1" w:themeFill="background1" w:themeFillShade="F2"/>
            <w:vAlign w:val="center"/>
          </w:tcPr>
          <w:p>
            <w:pPr>
              <w:jc w:val="center"/>
              <w:rPr>
                <w:rFonts w:hint="default"/>
                <w:b/>
                <w:bCs/>
                <w:sz w:val="24"/>
                <w:szCs w:val="24"/>
              </w:rPr>
            </w:pPr>
            <w:r>
              <w:rPr>
                <w:b/>
                <w:bCs/>
                <w:sz w:val="24"/>
                <w:szCs w:val="24"/>
              </w:rPr>
              <w:t>BBD:</w:t>
            </w:r>
            <w:r>
              <w:rPr>
                <w:rFonts w:hint="default"/>
                <w:b/>
                <w:bCs/>
                <w:color w:val="FF0000"/>
                <w:sz w:val="24"/>
                <w:szCs w:val="24"/>
              </w:rPr>
              <w:t>17385</w:t>
            </w:r>
            <w:r>
              <w:rPr>
                <w:rFonts w:hint="default"/>
                <w:b/>
                <w:bCs/>
                <w:sz w:val="24"/>
                <w:szCs w:val="24"/>
              </w:rPr>
              <w:t>万</w:t>
            </w:r>
          </w:p>
          <w:p>
            <w:pPr>
              <w:jc w:val="center"/>
              <w:rPr>
                <w:rFonts w:hint="default"/>
                <w:b/>
                <w:bCs/>
                <w:sz w:val="24"/>
                <w:szCs w:val="24"/>
                <w:lang w:val="en-US" w:eastAsia="zh-CN"/>
              </w:rPr>
            </w:pPr>
            <w:r>
              <w:rPr>
                <w:b/>
                <w:bCs/>
                <w:sz w:val="24"/>
                <w:szCs w:val="24"/>
              </w:rPr>
              <w:t>换手率:4.85%</w:t>
            </w:r>
          </w:p>
        </w:tc>
        <w:tc>
          <w:tcPr>
            <w:tcW w:w="3722" w:type="dxa"/>
            <w:shd w:val="clear" w:color="auto" w:fill="F1F1F1" w:themeFill="background1" w:themeFillShade="F2"/>
            <w:vAlign w:val="center"/>
          </w:tcPr>
          <w:p>
            <w:pPr>
              <w:jc w:val="both"/>
              <w:rPr>
                <w:rFonts w:hint="eastAsia" w:ascii="黑体" w:hAnsi="黑体" w:eastAsia="黑体" w:cs="黑体"/>
                <w:b/>
                <w:bCs/>
                <w:sz w:val="18"/>
                <w:szCs w:val="18"/>
                <w:lang w:val="en-US" w:eastAsia="zh-CN"/>
              </w:rPr>
            </w:pPr>
            <w:r>
              <w:rPr>
                <w:rFonts w:hint="eastAsia" w:ascii="黑体" w:hAnsi="黑体" w:eastAsia="黑体" w:cs="黑体"/>
                <w:b w:val="0"/>
                <w:bCs w:val="0"/>
                <w:sz w:val="18"/>
                <w:szCs w:val="18"/>
              </w:rPr>
              <w:t>公司重视氢能源发展，包括技术开发、市场开拓、人才培养，氢能源重卡、轻卡等车型均列入计划，目前公司的氢燃料重卡产品处于产品开发阶段，正在自主研发长续驶里程燃料电池重卡。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vAlign w:val="center"/>
          </w:tcPr>
          <w:p>
            <w:pPr>
              <w:jc w:val="center"/>
              <w:rPr>
                <w:rFonts w:hint="default"/>
                <w:b/>
                <w:bCs/>
                <w:sz w:val="28"/>
                <w:szCs w:val="28"/>
                <w:lang w:val="en-US" w:eastAsia="zh-CN"/>
              </w:rPr>
            </w:pPr>
            <w:r>
              <w:rPr>
                <w:rFonts w:hint="eastAsia"/>
                <w:b/>
                <w:bCs/>
                <w:sz w:val="28"/>
                <w:szCs w:val="28"/>
                <w:lang w:val="en-US" w:eastAsia="zh-CN"/>
              </w:rPr>
              <w:fldChar w:fldCharType="begin"/>
            </w:r>
            <w:r>
              <w:rPr>
                <w:rFonts w:hint="eastAsia"/>
                <w:b/>
                <w:bCs/>
                <w:sz w:val="28"/>
                <w:szCs w:val="28"/>
                <w:lang w:val="en-US" w:eastAsia="zh-CN"/>
              </w:rPr>
              <w:instrText xml:space="preserve"> HYPERLINK "http://www.dingniugu.com/dde/000811.html" \t "http://www.dingniugu.com/gegujiexi/_blank" </w:instrText>
            </w:r>
            <w:r>
              <w:rPr>
                <w:rFonts w:hint="eastAsia"/>
                <w:b/>
                <w:bCs/>
                <w:sz w:val="28"/>
                <w:szCs w:val="28"/>
                <w:lang w:val="en-US" w:eastAsia="zh-CN"/>
              </w:rPr>
              <w:fldChar w:fldCharType="separate"/>
            </w:r>
            <w:r>
              <w:rPr>
                <w:rFonts w:hint="default"/>
                <w:b/>
                <w:bCs/>
                <w:sz w:val="28"/>
                <w:szCs w:val="28"/>
                <w:lang w:val="en-US" w:eastAsia="zh-CN"/>
              </w:rPr>
              <w:t>冰轮环境</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000811</w:t>
            </w:r>
          </w:p>
        </w:tc>
        <w:tc>
          <w:tcPr>
            <w:tcW w:w="766" w:type="dxa"/>
            <w:vAlign w:val="center"/>
          </w:tcPr>
          <w:p>
            <w:pPr>
              <w:jc w:val="center"/>
              <w:rPr>
                <w:rFonts w:hint="default"/>
                <w:b/>
                <w:bCs/>
                <w:color w:val="FF0000"/>
                <w:sz w:val="21"/>
                <w:szCs w:val="21"/>
                <w:lang w:val="en-US" w:eastAsia="zh-CN"/>
              </w:rPr>
            </w:pPr>
            <w:r>
              <w:rPr>
                <w:b/>
                <w:bCs/>
                <w:color w:val="FF0000"/>
                <w:sz w:val="21"/>
                <w:szCs w:val="21"/>
              </w:rPr>
              <w:t>7.77</w:t>
            </w:r>
          </w:p>
        </w:tc>
        <w:tc>
          <w:tcPr>
            <w:tcW w:w="1554" w:type="dxa"/>
            <w:vAlign w:val="center"/>
          </w:tcPr>
          <w:p>
            <w:pPr>
              <w:ind w:firstLine="361" w:firstLineChars="200"/>
              <w:jc w:val="center"/>
              <w:rPr>
                <w:b/>
                <w:bCs/>
                <w:color w:val="FF0000"/>
                <w:sz w:val="18"/>
                <w:szCs w:val="18"/>
              </w:rPr>
            </w:pPr>
            <w:r>
              <w:rPr>
                <w:b/>
                <w:bCs/>
                <w:color w:val="FF0000"/>
                <w:sz w:val="18"/>
                <w:szCs w:val="18"/>
              </w:rPr>
              <w:drawing>
                <wp:anchor distT="0" distB="0" distL="114300" distR="114300" simplePos="0" relativeHeight="251913216" behindDoc="1" locked="0" layoutInCell="1" allowOverlap="1">
                  <wp:simplePos x="0" y="0"/>
                  <wp:positionH relativeFrom="column">
                    <wp:posOffset>52705</wp:posOffset>
                  </wp:positionH>
                  <wp:positionV relativeFrom="paragraph">
                    <wp:posOffset>130175</wp:posOffset>
                  </wp:positionV>
                  <wp:extent cx="171450" cy="295275"/>
                  <wp:effectExtent l="0" t="0" r="0" b="9525"/>
                  <wp:wrapNone/>
                  <wp:docPr id="86"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p>
          <w:p>
            <w:pPr>
              <w:ind w:firstLine="361" w:firstLineChars="200"/>
              <w:jc w:val="center"/>
              <w:rPr>
                <w:rFonts w:hint="default" w:eastAsiaTheme="minorEastAsia"/>
                <w:b/>
                <w:bCs/>
                <w:color w:val="FF0000"/>
                <w:sz w:val="18"/>
                <w:szCs w:val="18"/>
                <w:lang w:val="en-US" w:eastAsia="zh-CN"/>
              </w:rPr>
            </w:pPr>
            <w:r>
              <w:rPr>
                <w:b/>
                <w:bCs/>
                <w:color w:val="FF0000"/>
                <w:sz w:val="18"/>
                <w:szCs w:val="18"/>
              </w:rPr>
              <w:t>0.</w:t>
            </w:r>
            <w:r>
              <w:rPr>
                <w:rFonts w:hint="eastAsia"/>
                <w:b/>
                <w:bCs/>
                <w:color w:val="FF0000"/>
                <w:sz w:val="18"/>
                <w:szCs w:val="18"/>
                <w:lang w:val="en-US" w:eastAsia="zh-CN"/>
              </w:rPr>
              <w:t>71</w:t>
            </w:r>
          </w:p>
          <w:p>
            <w:p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b/>
                <w:bCs/>
                <w:color w:val="FF0000"/>
                <w:sz w:val="18"/>
                <w:szCs w:val="18"/>
              </w:rPr>
              <w:t>10.</w:t>
            </w:r>
            <w:r>
              <w:rPr>
                <w:rFonts w:hint="eastAsia"/>
                <w:b/>
                <w:bCs/>
                <w:color w:val="FF0000"/>
                <w:sz w:val="18"/>
                <w:szCs w:val="18"/>
                <w:lang w:val="en-US" w:eastAsia="zh-CN"/>
              </w:rPr>
              <w:t>06</w:t>
            </w:r>
            <w:r>
              <w:rPr>
                <w:rFonts w:hint="default"/>
                <w:b/>
                <w:bCs/>
                <w:color w:val="FF0000"/>
                <w:sz w:val="18"/>
                <w:szCs w:val="18"/>
              </w:rPr>
              <w:t>%</w:t>
            </w:r>
          </w:p>
        </w:tc>
        <w:tc>
          <w:tcPr>
            <w:tcW w:w="1814" w:type="dxa"/>
            <w:vAlign w:val="center"/>
          </w:tcPr>
          <w:p>
            <w:pPr>
              <w:jc w:val="center"/>
              <w:rPr>
                <w:rFonts w:hint="default"/>
                <w:b/>
                <w:bCs/>
                <w:sz w:val="24"/>
                <w:szCs w:val="24"/>
              </w:rPr>
            </w:pPr>
            <w:r>
              <w:rPr>
                <w:b/>
                <w:bCs/>
                <w:sz w:val="24"/>
                <w:szCs w:val="24"/>
              </w:rPr>
              <w:t>BBD:</w:t>
            </w:r>
            <w:r>
              <w:rPr>
                <w:rFonts w:hint="default"/>
                <w:b/>
                <w:bCs/>
                <w:color w:val="FF0000"/>
                <w:sz w:val="24"/>
                <w:szCs w:val="24"/>
              </w:rPr>
              <w:t>3321</w:t>
            </w:r>
            <w:r>
              <w:rPr>
                <w:rFonts w:hint="default"/>
                <w:b/>
                <w:bCs/>
                <w:sz w:val="24"/>
                <w:szCs w:val="24"/>
              </w:rPr>
              <w:t>万</w:t>
            </w:r>
          </w:p>
          <w:p>
            <w:pPr>
              <w:jc w:val="center"/>
              <w:rPr>
                <w:rFonts w:hint="default"/>
                <w:b/>
                <w:bCs/>
                <w:sz w:val="24"/>
                <w:szCs w:val="24"/>
                <w:lang w:val="en-US" w:eastAsia="zh-CN"/>
              </w:rPr>
            </w:pPr>
            <w:r>
              <w:rPr>
                <w:b/>
                <w:bCs/>
                <w:sz w:val="24"/>
                <w:szCs w:val="24"/>
              </w:rPr>
              <w:t>换手率:5.30%</w:t>
            </w:r>
          </w:p>
        </w:tc>
        <w:tc>
          <w:tcPr>
            <w:tcW w:w="372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color w:val="auto"/>
                <w:sz w:val="18"/>
                <w:szCs w:val="18"/>
              </w:rPr>
              <w:t>2019年6月，公司拟全资设立山东冰轮海卓氢能技术研究院有限公司，注册资本5000万元，公司以自有资金出资。定位为氢能技术研究和孵化平台。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shd w:val="clear" w:color="auto" w:fill="F1F1F1" w:themeFill="background1" w:themeFillShade="F2"/>
            <w:vAlign w:val="center"/>
          </w:tcPr>
          <w:p>
            <w:pPr>
              <w:numPr>
                <w:ilvl w:val="0"/>
                <w:numId w:val="0"/>
              </w:numPr>
              <w:jc w:val="center"/>
              <w:rPr>
                <w:rFonts w:hint="default" w:ascii="Arial" w:hAnsi="Arial" w:eastAsia="宋体" w:cs="Arial"/>
                <w:b w:val="0"/>
                <w:i w:val="0"/>
                <w:caps w:val="0"/>
                <w:color w:val="333333"/>
                <w:spacing w:val="0"/>
                <w:sz w:val="28"/>
                <w:szCs w:val="28"/>
                <w:u w:val="none"/>
                <w:shd w:val="clear" w:fill="F9F9F9"/>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"http://www.dingniugu.com/dde/300540.html"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深冷股份</w:t>
            </w:r>
            <w:r>
              <w:rPr>
                <w:rFonts w:hint="default"/>
                <w:b/>
                <w:bCs/>
                <w:sz w:val="28"/>
                <w:szCs w:val="28"/>
                <w:lang w:val="en-US" w:eastAsia="zh-CN"/>
              </w:rPr>
              <w:fldChar w:fldCharType="end"/>
            </w:r>
          </w:p>
          <w:p>
            <w:pPr>
              <w:numPr>
                <w:ilvl w:val="0"/>
                <w:numId w:val="0"/>
              </w:numPr>
              <w:jc w:val="center"/>
              <w:rPr>
                <w:rFonts w:hint="default" w:ascii="Arial" w:hAnsi="Arial" w:eastAsia="宋体" w:cs="Arial"/>
                <w:b w:val="0"/>
                <w:i w:val="0"/>
                <w:caps w:val="0"/>
                <w:color w:val="333333"/>
                <w:spacing w:val="0"/>
                <w:sz w:val="28"/>
                <w:szCs w:val="28"/>
                <w:u w:val="none"/>
                <w:shd w:val="clear" w:fill="F9F9F9"/>
                <w:lang w:val="en-US" w:eastAsia="zh-CN"/>
              </w:rPr>
            </w:pPr>
            <w:r>
              <w:rPr>
                <w:b/>
                <w:bCs/>
                <w:sz w:val="28"/>
                <w:szCs w:val="28"/>
              </w:rPr>
              <w:t>300540</w:t>
            </w:r>
          </w:p>
        </w:tc>
        <w:tc>
          <w:tcPr>
            <w:tcW w:w="766" w:type="dxa"/>
            <w:shd w:val="clear" w:color="auto" w:fill="F1F1F1" w:themeFill="background1" w:themeFillShade="F2"/>
            <w:vAlign w:val="center"/>
          </w:tcPr>
          <w:p>
            <w:pPr>
              <w:numPr>
                <w:ilvl w:val="0"/>
                <w:numId w:val="0"/>
              </w:numPr>
              <w:jc w:val="center"/>
              <w:rPr>
                <w:rFonts w:hint="default"/>
                <w:b w:val="0"/>
                <w:bCs w:val="0"/>
                <w:i/>
                <w:iCs/>
                <w:color w:val="FF0000"/>
                <w:sz w:val="21"/>
                <w:szCs w:val="21"/>
                <w:vertAlign w:val="baseline"/>
                <w:lang w:val="en-US" w:eastAsia="zh-CN"/>
              </w:rPr>
            </w:pPr>
            <w:r>
              <w:rPr>
                <w:b/>
                <w:bCs/>
                <w:color w:val="FF0000"/>
                <w:sz w:val="21"/>
                <w:szCs w:val="21"/>
              </w:rPr>
              <w:t>25.41</w:t>
            </w:r>
          </w:p>
        </w:tc>
        <w:tc>
          <w:tcPr>
            <w:tcW w:w="1554" w:type="dxa"/>
            <w:shd w:val="clear" w:color="auto" w:fill="F1F1F1" w:themeFill="background1" w:themeFillShade="F2"/>
            <w:vAlign w:val="center"/>
          </w:tcPr>
          <w:p>
            <w:pPr>
              <w:ind w:firstLine="361" w:firstLineChars="200"/>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1915264" behindDoc="0" locked="0" layoutInCell="1" allowOverlap="1">
                  <wp:simplePos x="0" y="0"/>
                  <wp:positionH relativeFrom="column">
                    <wp:posOffset>52705</wp:posOffset>
                  </wp:positionH>
                  <wp:positionV relativeFrom="paragraph">
                    <wp:posOffset>130175</wp:posOffset>
                  </wp:positionV>
                  <wp:extent cx="171450" cy="295275"/>
                  <wp:effectExtent l="0" t="0" r="0" b="9525"/>
                  <wp:wrapNone/>
                  <wp:docPr id="88"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p>
          <w:p>
            <w:pPr>
              <w:ind w:firstLine="361" w:firstLineChars="200"/>
              <w:jc w:val="center"/>
              <w:rPr>
                <w:rFonts w:hint="default" w:eastAsiaTheme="minorEastAsia"/>
                <w:b/>
                <w:bCs/>
                <w:color w:val="FF0000"/>
                <w:sz w:val="18"/>
                <w:szCs w:val="18"/>
                <w:lang w:val="en-US" w:eastAsia="zh-CN"/>
              </w:rPr>
            </w:pPr>
            <w:r>
              <w:rPr>
                <w:rFonts w:hint="eastAsia"/>
                <w:b/>
                <w:bCs/>
                <w:color w:val="FF0000"/>
                <w:sz w:val="18"/>
                <w:szCs w:val="18"/>
                <w:lang w:val="en-US" w:eastAsia="zh-CN"/>
              </w:rPr>
              <w:t>1</w:t>
            </w:r>
            <w:r>
              <w:rPr>
                <w:b/>
                <w:bCs/>
                <w:color w:val="FF0000"/>
                <w:sz w:val="18"/>
                <w:szCs w:val="18"/>
              </w:rPr>
              <w:t>.</w:t>
            </w:r>
            <w:r>
              <w:rPr>
                <w:rFonts w:hint="eastAsia"/>
                <w:b/>
                <w:bCs/>
                <w:color w:val="FF0000"/>
                <w:sz w:val="18"/>
                <w:szCs w:val="18"/>
                <w:lang w:val="en-US" w:eastAsia="zh-CN"/>
              </w:rPr>
              <w:t>99</w:t>
            </w:r>
          </w:p>
          <w:p>
            <w:pPr>
              <w:numPr>
                <w:ilvl w:val="0"/>
                <w:numId w:val="0"/>
              </w:numPr>
              <w:jc w:val="center"/>
              <w:rPr>
                <w:rFonts w:hint="default"/>
                <w:b w:val="0"/>
                <w:bCs w:val="0"/>
                <w:i/>
                <w:iCs/>
                <w:color w:val="FF0000"/>
                <w:sz w:val="18"/>
                <w:szCs w:val="18"/>
                <w:vertAlign w:val="baseline"/>
                <w:lang w:val="en-US" w:eastAsia="zh-CN"/>
              </w:rPr>
            </w:pPr>
            <w:r>
              <w:rPr>
                <w:rFonts w:hint="eastAsia"/>
                <w:b/>
                <w:bCs/>
                <w:color w:val="FF0000"/>
                <w:sz w:val="18"/>
                <w:szCs w:val="18"/>
                <w:lang w:val="en-US" w:eastAsia="zh-CN"/>
              </w:rPr>
              <w:t xml:space="preserve">    8</w:t>
            </w:r>
            <w:r>
              <w:rPr>
                <w:b/>
                <w:bCs/>
                <w:color w:val="FF0000"/>
                <w:sz w:val="18"/>
                <w:szCs w:val="18"/>
              </w:rPr>
              <w:t>.</w:t>
            </w:r>
            <w:r>
              <w:rPr>
                <w:rFonts w:hint="eastAsia"/>
                <w:b/>
                <w:bCs/>
                <w:color w:val="FF0000"/>
                <w:sz w:val="18"/>
                <w:szCs w:val="18"/>
                <w:lang w:val="en-US" w:eastAsia="zh-CN"/>
              </w:rPr>
              <w:t>50</w:t>
            </w:r>
            <w:r>
              <w:rPr>
                <w:rFonts w:hint="default"/>
                <w:b/>
                <w:bCs/>
                <w:color w:val="FF0000"/>
                <w:sz w:val="18"/>
                <w:szCs w:val="18"/>
              </w:rPr>
              <w:t>%</w:t>
            </w:r>
          </w:p>
        </w:tc>
        <w:tc>
          <w:tcPr>
            <w:tcW w:w="1814" w:type="dxa"/>
            <w:shd w:val="clear" w:color="auto" w:fill="F1F1F1" w:themeFill="background1" w:themeFillShade="F2"/>
            <w:vAlign w:val="center"/>
          </w:tcPr>
          <w:p>
            <w:pPr>
              <w:jc w:val="center"/>
              <w:rPr>
                <w:rFonts w:hint="default"/>
                <w:b/>
                <w:bCs/>
                <w:sz w:val="24"/>
                <w:szCs w:val="24"/>
              </w:rPr>
            </w:pPr>
            <w:r>
              <w:rPr>
                <w:b/>
                <w:bCs/>
                <w:sz w:val="24"/>
                <w:szCs w:val="24"/>
              </w:rPr>
              <w:t>BBD:</w:t>
            </w:r>
            <w:r>
              <w:rPr>
                <w:rFonts w:hint="default"/>
                <w:b/>
                <w:bCs/>
                <w:color w:val="FF0000"/>
                <w:sz w:val="24"/>
                <w:szCs w:val="24"/>
              </w:rPr>
              <w:t>76</w:t>
            </w:r>
            <w:r>
              <w:rPr>
                <w:rFonts w:hint="default"/>
                <w:b/>
                <w:bCs/>
                <w:sz w:val="24"/>
                <w:szCs w:val="24"/>
              </w:rPr>
              <w:t>万</w:t>
            </w:r>
          </w:p>
          <w:p>
            <w:pPr>
              <w:jc w:val="center"/>
              <w:rPr>
                <w:rFonts w:hint="default"/>
                <w:b/>
                <w:bCs/>
                <w:sz w:val="24"/>
                <w:szCs w:val="24"/>
                <w:lang w:val="en-US" w:eastAsia="zh-CN"/>
              </w:rPr>
            </w:pPr>
            <w:r>
              <w:rPr>
                <w:b/>
                <w:bCs/>
                <w:sz w:val="24"/>
                <w:szCs w:val="24"/>
              </w:rPr>
              <w:t>换手率:16.86%</w:t>
            </w:r>
          </w:p>
        </w:tc>
        <w:tc>
          <w:tcPr>
            <w:tcW w:w="3722" w:type="dxa"/>
            <w:shd w:val="clear" w:color="auto" w:fill="F1F1F1" w:themeFill="background1" w:themeFillShade="F2"/>
            <w:vAlign w:val="center"/>
          </w:tcPr>
          <w:p>
            <w:p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公司主要产品智能加氢枪是为燃料电池汽车进行氢气加注的核心零部件设备;17年9月与武汉地质资源环境工业技术研究院合作推进氢燃料电池汽车的应用和推广项目。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vAlign w:val="center"/>
          </w:tcPr>
          <w:p>
            <w:pPr>
              <w:numPr>
                <w:ilvl w:val="0"/>
                <w:numId w:val="0"/>
              </w:numPr>
              <w:jc w:val="center"/>
              <w:rPr>
                <w:rFonts w:hint="default" w:ascii="Arial" w:hAnsi="Arial" w:eastAsia="宋体" w:cs="Arial"/>
                <w:b w:val="0"/>
                <w:i w:val="0"/>
                <w:caps w:val="0"/>
                <w:color w:val="333333"/>
                <w:spacing w:val="0"/>
                <w:sz w:val="28"/>
                <w:szCs w:val="28"/>
                <w:u w:val="none"/>
                <w:shd w:val="clear" w:fill="FFFFFF"/>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"http://www.dingniugu.com/dde/002709.html"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天赐材料</w:t>
            </w:r>
            <w:r>
              <w:rPr>
                <w:rFonts w:hint="default"/>
                <w:b/>
                <w:bCs/>
                <w:sz w:val="28"/>
                <w:szCs w:val="28"/>
                <w:lang w:val="en-US" w:eastAsia="zh-CN"/>
              </w:rPr>
              <w:fldChar w:fldCharType="end"/>
            </w:r>
          </w:p>
          <w:p>
            <w:pPr>
              <w:numPr>
                <w:ilvl w:val="0"/>
                <w:numId w:val="0"/>
              </w:numPr>
              <w:jc w:val="center"/>
              <w:rPr>
                <w:rFonts w:hint="default" w:ascii="Arial" w:hAnsi="Arial" w:eastAsia="宋体" w:cs="Arial"/>
                <w:b w:val="0"/>
                <w:i w:val="0"/>
                <w:caps w:val="0"/>
                <w:color w:val="333333"/>
                <w:spacing w:val="0"/>
                <w:sz w:val="28"/>
                <w:szCs w:val="28"/>
                <w:u w:val="none"/>
                <w:shd w:val="clear" w:fill="FFFFFF"/>
                <w:lang w:val="en-US" w:eastAsia="zh-CN"/>
              </w:rPr>
            </w:pPr>
            <w:r>
              <w:rPr>
                <w:b/>
                <w:bCs/>
                <w:sz w:val="28"/>
                <w:szCs w:val="28"/>
              </w:rPr>
              <w:t>002709</w:t>
            </w:r>
          </w:p>
        </w:tc>
        <w:tc>
          <w:tcPr>
            <w:tcW w:w="766" w:type="dxa"/>
            <w:vAlign w:val="center"/>
          </w:tcPr>
          <w:p>
            <w:pPr>
              <w:numPr>
                <w:ilvl w:val="0"/>
                <w:numId w:val="0"/>
              </w:numPr>
              <w:jc w:val="center"/>
              <w:rPr>
                <w:rFonts w:hint="default"/>
                <w:b/>
                <w:bCs/>
                <w:sz w:val="21"/>
                <w:szCs w:val="21"/>
                <w:lang w:val="en-US" w:eastAsia="zh-CN"/>
              </w:rPr>
            </w:pPr>
            <w:r>
              <w:rPr>
                <w:b/>
                <w:bCs/>
                <w:color w:val="FF0000"/>
                <w:sz w:val="21"/>
                <w:szCs w:val="21"/>
              </w:rPr>
              <w:t>80.50</w:t>
            </w:r>
          </w:p>
        </w:tc>
        <w:tc>
          <w:tcPr>
            <w:tcW w:w="1554" w:type="dxa"/>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1919360" behindDoc="1" locked="0" layoutInCell="1" allowOverlap="1">
                  <wp:simplePos x="0" y="0"/>
                  <wp:positionH relativeFrom="column">
                    <wp:posOffset>73660</wp:posOffset>
                  </wp:positionH>
                  <wp:positionV relativeFrom="paragraph">
                    <wp:posOffset>107950</wp:posOffset>
                  </wp:positionV>
                  <wp:extent cx="171450" cy="295275"/>
                  <wp:effectExtent l="0" t="0" r="0" b="9525"/>
                  <wp:wrapNone/>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b/>
                <w:bCs/>
                <w:color w:val="FF0000"/>
                <w:sz w:val="18"/>
                <w:szCs w:val="18"/>
              </w:rPr>
              <w:t>4.65</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b/>
                <w:bCs/>
                <w:color w:val="FF0000"/>
                <w:sz w:val="18"/>
                <w:szCs w:val="18"/>
              </w:rPr>
              <w:t>6.13</w:t>
            </w:r>
            <w:r>
              <w:rPr>
                <w:rFonts w:hint="default"/>
                <w:b/>
                <w:bCs/>
                <w:color w:val="FF0000"/>
                <w:sz w:val="18"/>
                <w:szCs w:val="18"/>
              </w:rPr>
              <w:t>%</w:t>
            </w:r>
          </w:p>
        </w:tc>
        <w:tc>
          <w:tcPr>
            <w:tcW w:w="1814" w:type="dxa"/>
            <w:vAlign w:val="center"/>
          </w:tcPr>
          <w:p>
            <w:pPr>
              <w:numPr>
                <w:ilvl w:val="0"/>
                <w:numId w:val="0"/>
              </w:numPr>
              <w:jc w:val="center"/>
              <w:rPr>
                <w:rFonts w:hint="default"/>
                <w:b/>
                <w:bCs/>
                <w:sz w:val="24"/>
                <w:szCs w:val="24"/>
              </w:rPr>
            </w:pPr>
            <w:r>
              <w:rPr>
                <w:b/>
                <w:bCs/>
                <w:sz w:val="24"/>
                <w:szCs w:val="24"/>
              </w:rPr>
              <w:t>BBD:</w:t>
            </w:r>
            <w:r>
              <w:rPr>
                <w:rFonts w:hint="default"/>
                <w:b/>
                <w:bCs/>
                <w:color w:val="FF0000"/>
                <w:sz w:val="24"/>
                <w:szCs w:val="24"/>
              </w:rPr>
              <w:t>10886</w:t>
            </w:r>
            <w:r>
              <w:rPr>
                <w:rFonts w:hint="default"/>
                <w:b/>
                <w:bCs/>
                <w:sz w:val="24"/>
                <w:szCs w:val="24"/>
              </w:rPr>
              <w:t>万</w:t>
            </w:r>
          </w:p>
          <w:p>
            <w:pPr>
              <w:numPr>
                <w:ilvl w:val="0"/>
                <w:numId w:val="0"/>
              </w:numPr>
              <w:jc w:val="center"/>
              <w:rPr>
                <w:rFonts w:hint="default"/>
                <w:b/>
                <w:bCs/>
                <w:sz w:val="24"/>
                <w:szCs w:val="24"/>
                <w:lang w:val="en-US" w:eastAsia="zh-CN"/>
              </w:rPr>
            </w:pPr>
            <w:r>
              <w:rPr>
                <w:b/>
                <w:bCs/>
                <w:sz w:val="24"/>
                <w:szCs w:val="24"/>
              </w:rPr>
              <w:t>换手率:5.84%</w:t>
            </w:r>
          </w:p>
        </w:tc>
        <w:tc>
          <w:tcPr>
            <w:tcW w:w="372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项目建设上，公司将启动产品三废利用，进行基础材料制备的循环产业链系统系项目，包括副产硫酸、含盐废水的回用，副产氢气等的利用</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shd w:val="clear" w:color="auto" w:fill="F1F1F1" w:themeFill="background1" w:themeFillShade="F2"/>
            <w:vAlign w:val="center"/>
          </w:tcPr>
          <w:p>
            <w:pPr>
              <w:numPr>
                <w:ilvl w:val="0"/>
                <w:numId w:val="0"/>
              </w:num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"http://www.dingniugu.com/dde/300228.html"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富瑞特装</w:t>
            </w:r>
            <w:r>
              <w:rPr>
                <w:rFonts w:hint="default"/>
                <w:b/>
                <w:bCs/>
                <w:sz w:val="28"/>
                <w:szCs w:val="28"/>
                <w:lang w:val="en-US" w:eastAsia="zh-CN"/>
              </w:rPr>
              <w:fldChar w:fldCharType="end"/>
            </w:r>
          </w:p>
          <w:p>
            <w:pPr>
              <w:numPr>
                <w:ilvl w:val="0"/>
                <w:numId w:val="0"/>
              </w:numPr>
              <w:jc w:val="center"/>
              <w:rPr>
                <w:rFonts w:hint="default" w:ascii="Arial" w:hAnsi="Arial" w:eastAsia="宋体" w:cs="Arial"/>
                <w:b w:val="0"/>
                <w:i w:val="0"/>
                <w:caps w:val="0"/>
                <w:color w:val="333333"/>
                <w:spacing w:val="0"/>
                <w:sz w:val="28"/>
                <w:szCs w:val="28"/>
                <w:u w:val="none"/>
                <w:shd w:val="clear" w:fill="F9F9F9"/>
                <w:lang w:val="en-US" w:eastAsia="zh-CN"/>
              </w:rPr>
            </w:pPr>
            <w:r>
              <w:rPr>
                <w:b/>
                <w:bCs/>
                <w:sz w:val="28"/>
                <w:szCs w:val="28"/>
              </w:rPr>
              <w:t>300228</w:t>
            </w:r>
          </w:p>
        </w:tc>
        <w:tc>
          <w:tcPr>
            <w:tcW w:w="766" w:type="dxa"/>
            <w:shd w:val="clear" w:color="auto" w:fill="F1F1F1" w:themeFill="background1" w:themeFillShade="F2"/>
            <w:vAlign w:val="center"/>
          </w:tcPr>
          <w:p>
            <w:pPr>
              <w:numPr>
                <w:ilvl w:val="0"/>
                <w:numId w:val="0"/>
              </w:numPr>
              <w:jc w:val="center"/>
              <w:rPr>
                <w:rFonts w:hint="default"/>
                <w:b/>
                <w:bCs/>
                <w:color w:val="FF0000"/>
                <w:sz w:val="21"/>
                <w:szCs w:val="21"/>
                <w:lang w:val="en-US" w:eastAsia="zh-CN"/>
              </w:rPr>
            </w:pPr>
            <w:r>
              <w:rPr>
                <w:b/>
                <w:bCs/>
                <w:color w:val="FF0000"/>
                <w:sz w:val="21"/>
                <w:szCs w:val="21"/>
              </w:rPr>
              <w:t>7.78</w:t>
            </w:r>
          </w:p>
        </w:tc>
        <w:tc>
          <w:tcPr>
            <w:tcW w:w="1554" w:type="dxa"/>
            <w:shd w:val="clear" w:color="auto" w:fill="F1F1F1" w:themeFill="background1" w:themeFillShade="F2"/>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1927552" behindDoc="0" locked="0" layoutInCell="1" allowOverlap="1">
                  <wp:simplePos x="0" y="0"/>
                  <wp:positionH relativeFrom="column">
                    <wp:posOffset>52705</wp:posOffset>
                  </wp:positionH>
                  <wp:positionV relativeFrom="paragraph">
                    <wp:posOffset>130175</wp:posOffset>
                  </wp:positionV>
                  <wp:extent cx="171450" cy="295275"/>
                  <wp:effectExtent l="0" t="0" r="0" b="9525"/>
                  <wp:wrapNone/>
                  <wp:docPr id="90"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0.37</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4.99%</w:t>
            </w:r>
          </w:p>
        </w:tc>
        <w:tc>
          <w:tcPr>
            <w:tcW w:w="1814" w:type="dxa"/>
            <w:shd w:val="clear" w:color="auto" w:fill="F1F1F1" w:themeFill="background1" w:themeFillShade="F2"/>
            <w:vAlign w:val="center"/>
          </w:tcPr>
          <w:p>
            <w:pPr>
              <w:numPr>
                <w:ilvl w:val="0"/>
                <w:numId w:val="0"/>
              </w:numPr>
              <w:jc w:val="center"/>
              <w:rPr>
                <w:rFonts w:hint="default"/>
                <w:b/>
                <w:bCs/>
                <w:sz w:val="24"/>
                <w:szCs w:val="24"/>
              </w:rPr>
            </w:pPr>
            <w:r>
              <w:rPr>
                <w:b/>
                <w:bCs/>
                <w:sz w:val="24"/>
                <w:szCs w:val="24"/>
              </w:rPr>
              <w:t>BBD</w:t>
            </w:r>
            <w:r>
              <w:rPr>
                <w:b/>
                <w:bCs/>
                <w:color w:val="FF0000"/>
                <w:sz w:val="24"/>
                <w:szCs w:val="24"/>
              </w:rPr>
              <w:t>:</w:t>
            </w:r>
            <w:r>
              <w:rPr>
                <w:rFonts w:hint="default"/>
                <w:b/>
                <w:bCs/>
                <w:color w:val="FF0000"/>
                <w:sz w:val="24"/>
                <w:szCs w:val="24"/>
              </w:rPr>
              <w:t>1813</w:t>
            </w:r>
            <w:r>
              <w:rPr>
                <w:rFonts w:hint="default"/>
                <w:b/>
                <w:bCs/>
                <w:sz w:val="24"/>
                <w:szCs w:val="24"/>
              </w:rPr>
              <w:t>万</w:t>
            </w:r>
          </w:p>
          <w:p>
            <w:pPr>
              <w:numPr>
                <w:ilvl w:val="0"/>
                <w:numId w:val="0"/>
              </w:numPr>
              <w:jc w:val="center"/>
              <w:rPr>
                <w:rFonts w:hint="default"/>
                <w:b/>
                <w:bCs/>
                <w:sz w:val="24"/>
                <w:szCs w:val="24"/>
                <w:lang w:val="en-US" w:eastAsia="zh-CN"/>
              </w:rPr>
            </w:pPr>
            <w:r>
              <w:rPr>
                <w:b/>
                <w:bCs/>
                <w:sz w:val="24"/>
                <w:szCs w:val="24"/>
              </w:rPr>
              <w:t>换手率:8.37%</w:t>
            </w:r>
          </w:p>
        </w:tc>
        <w:tc>
          <w:tcPr>
            <w:tcW w:w="3722" w:type="dxa"/>
            <w:shd w:val="clear" w:color="auto" w:fill="F1F1F1" w:themeFill="background1" w:themeFillShade="F2"/>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2019年5月21日公司在互动平台称：目前公司控股子公司富瑞阀门的35Mp系列氢用阀门等少量产品为氢能业务配套，张家港同创富瑞基金的投资项目中有些与氢能相关。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vAlign w:val="center"/>
          </w:tcPr>
          <w:p>
            <w:pPr>
              <w:numPr>
                <w:ilvl w:val="0"/>
                <w:numId w:val="0"/>
              </w:num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"http://www.dingniugu.com/dde/002639.html"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雪人股份</w:t>
            </w:r>
            <w:r>
              <w:rPr>
                <w:rFonts w:hint="default"/>
                <w:b/>
                <w:bCs/>
                <w:sz w:val="28"/>
                <w:szCs w:val="28"/>
                <w:lang w:val="en-US" w:eastAsia="zh-CN"/>
              </w:rPr>
              <w:fldChar w:fldCharType="end"/>
            </w:r>
          </w:p>
          <w:p>
            <w:pPr>
              <w:numPr>
                <w:ilvl w:val="0"/>
                <w:numId w:val="0"/>
              </w:numPr>
              <w:jc w:val="center"/>
              <w:rPr>
                <w:rFonts w:hint="default" w:ascii="Arial" w:hAnsi="Arial" w:eastAsia="宋体" w:cs="Arial"/>
                <w:b w:val="0"/>
                <w:i w:val="0"/>
                <w:caps w:val="0"/>
                <w:color w:val="333333"/>
                <w:spacing w:val="0"/>
                <w:sz w:val="28"/>
                <w:szCs w:val="28"/>
                <w:u w:val="none"/>
                <w:shd w:val="clear" w:fill="FFFFFF"/>
                <w:lang w:val="en-US" w:eastAsia="zh-CN"/>
              </w:rPr>
            </w:pPr>
            <w:r>
              <w:rPr>
                <w:b/>
                <w:bCs/>
                <w:color w:val="auto"/>
                <w:sz w:val="28"/>
                <w:szCs w:val="28"/>
              </w:rPr>
              <w:t>002639</w:t>
            </w:r>
          </w:p>
        </w:tc>
        <w:tc>
          <w:tcPr>
            <w:tcW w:w="766" w:type="dxa"/>
            <w:vAlign w:val="center"/>
          </w:tcPr>
          <w:p>
            <w:pPr>
              <w:numPr>
                <w:ilvl w:val="0"/>
                <w:numId w:val="0"/>
              </w:numPr>
              <w:jc w:val="center"/>
              <w:rPr>
                <w:rFonts w:hint="default"/>
                <w:b/>
                <w:bCs/>
                <w:color w:val="FF0000"/>
                <w:sz w:val="21"/>
                <w:szCs w:val="21"/>
                <w:lang w:val="en-US" w:eastAsia="zh-CN"/>
              </w:rPr>
            </w:pPr>
            <w:r>
              <w:rPr>
                <w:b/>
                <w:bCs/>
                <w:color w:val="FF0000"/>
                <w:sz w:val="21"/>
                <w:szCs w:val="21"/>
              </w:rPr>
              <w:t>6.77</w:t>
            </w:r>
          </w:p>
        </w:tc>
        <w:tc>
          <w:tcPr>
            <w:tcW w:w="1554" w:type="dxa"/>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1943936" behindDoc="1" locked="0" layoutInCell="1" allowOverlap="1">
                  <wp:simplePos x="0" y="0"/>
                  <wp:positionH relativeFrom="column">
                    <wp:posOffset>52705</wp:posOffset>
                  </wp:positionH>
                  <wp:positionV relativeFrom="paragraph">
                    <wp:posOffset>130175</wp:posOffset>
                  </wp:positionV>
                  <wp:extent cx="171450" cy="295275"/>
                  <wp:effectExtent l="0" t="0" r="0" b="9525"/>
                  <wp:wrapNone/>
                  <wp:docPr id="92" name="图片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0.</w:t>
            </w:r>
            <w:r>
              <w:rPr>
                <w:rFonts w:hint="eastAsia"/>
                <w:b/>
                <w:bCs/>
                <w:color w:val="FF0000"/>
                <w:sz w:val="18"/>
                <w:szCs w:val="18"/>
                <w:lang w:val="en-US" w:eastAsia="zh-CN"/>
              </w:rPr>
              <w:t>2</w:t>
            </w:r>
            <w:r>
              <w:rPr>
                <w:rFonts w:hint="eastAsia"/>
                <w:b/>
                <w:bCs/>
                <w:color w:val="FF0000"/>
                <w:sz w:val="18"/>
                <w:szCs w:val="18"/>
              </w:rPr>
              <w:t>7</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4.15%</w:t>
            </w:r>
          </w:p>
        </w:tc>
        <w:tc>
          <w:tcPr>
            <w:tcW w:w="1814" w:type="dxa"/>
            <w:vAlign w:val="center"/>
          </w:tcPr>
          <w:p>
            <w:pPr>
              <w:numPr>
                <w:ilvl w:val="0"/>
                <w:numId w:val="0"/>
              </w:numPr>
              <w:jc w:val="center"/>
              <w:rPr>
                <w:rFonts w:hint="default"/>
                <w:b/>
                <w:bCs/>
                <w:color w:val="auto"/>
                <w:sz w:val="24"/>
                <w:szCs w:val="24"/>
              </w:rPr>
            </w:pPr>
            <w:r>
              <w:rPr>
                <w:b/>
                <w:bCs/>
                <w:color w:val="auto"/>
                <w:sz w:val="24"/>
                <w:szCs w:val="24"/>
              </w:rPr>
              <w:t>BBD:</w:t>
            </w:r>
            <w:r>
              <w:rPr>
                <w:rFonts w:hint="default"/>
                <w:b/>
                <w:bCs/>
                <w:color w:val="FF0000"/>
                <w:sz w:val="24"/>
                <w:szCs w:val="24"/>
              </w:rPr>
              <w:t>382</w:t>
            </w:r>
            <w:r>
              <w:rPr>
                <w:rFonts w:hint="default"/>
                <w:b/>
                <w:bCs/>
                <w:color w:val="auto"/>
                <w:sz w:val="24"/>
                <w:szCs w:val="24"/>
              </w:rPr>
              <w:t>万</w:t>
            </w:r>
          </w:p>
          <w:p>
            <w:pPr>
              <w:numPr>
                <w:ilvl w:val="0"/>
                <w:numId w:val="0"/>
              </w:numPr>
              <w:jc w:val="center"/>
              <w:rPr>
                <w:rFonts w:hint="default"/>
                <w:b/>
                <w:bCs/>
                <w:color w:val="FF0000"/>
                <w:sz w:val="24"/>
                <w:szCs w:val="24"/>
                <w:lang w:val="en-US" w:eastAsia="zh-CN"/>
              </w:rPr>
            </w:pPr>
            <w:r>
              <w:rPr>
                <w:b/>
                <w:bCs/>
                <w:color w:val="auto"/>
                <w:sz w:val="24"/>
                <w:szCs w:val="24"/>
              </w:rPr>
              <w:t>换手率:4.42%</w:t>
            </w:r>
          </w:p>
        </w:tc>
        <w:tc>
          <w:tcPr>
            <w:tcW w:w="372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在氢能源与燃料电池产业链上已布局两块业务，一是氢气制取与加氢站建设运营相关设备，二是氢燃料电池发动机系统集成，包括燃料电池电堆、燃料电池空压机及氢气循环泵等</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shd w:val="clear" w:color="auto" w:fill="F1F1F1" w:themeFill="background1" w:themeFillShade="F2"/>
            <w:vAlign w:val="center"/>
          </w:tcPr>
          <w:p>
            <w:pPr>
              <w:numPr>
                <w:ilvl w:val="0"/>
                <w:numId w:val="0"/>
              </w:numPr>
              <w:jc w:val="center"/>
              <w:rPr>
                <w:rFonts w:hint="default"/>
                <w:b/>
                <w:bCs/>
                <w:color w:val="auto"/>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"http://www.dingniugu.com/dde/002249.html"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大洋电机</w:t>
            </w:r>
            <w:r>
              <w:rPr>
                <w:rFonts w:hint="default"/>
                <w:b/>
                <w:bCs/>
                <w:sz w:val="28"/>
                <w:szCs w:val="28"/>
                <w:lang w:val="en-US" w:eastAsia="zh-CN"/>
              </w:rPr>
              <w:fldChar w:fldCharType="end"/>
            </w:r>
          </w:p>
          <w:p>
            <w:pPr>
              <w:numPr>
                <w:ilvl w:val="0"/>
                <w:numId w:val="0"/>
              </w:numPr>
              <w:jc w:val="center"/>
              <w:rPr>
                <w:rFonts w:hint="default"/>
                <w:b/>
                <w:bCs/>
                <w:color w:val="auto"/>
                <w:sz w:val="28"/>
                <w:szCs w:val="28"/>
                <w:lang w:val="en-US" w:eastAsia="zh-CN"/>
              </w:rPr>
            </w:pPr>
            <w:r>
              <w:rPr>
                <w:b/>
                <w:bCs/>
                <w:color w:val="auto"/>
                <w:sz w:val="28"/>
                <w:szCs w:val="28"/>
              </w:rPr>
              <w:t>002249</w:t>
            </w:r>
          </w:p>
        </w:tc>
        <w:tc>
          <w:tcPr>
            <w:tcW w:w="766" w:type="dxa"/>
            <w:shd w:val="clear" w:color="auto" w:fill="F1F1F1" w:themeFill="background1" w:themeFillShade="F2"/>
            <w:vAlign w:val="center"/>
          </w:tcPr>
          <w:p>
            <w:pPr>
              <w:numPr>
                <w:ilvl w:val="0"/>
                <w:numId w:val="0"/>
              </w:numPr>
              <w:jc w:val="center"/>
              <w:rPr>
                <w:rFonts w:hint="default"/>
                <w:b/>
                <w:bCs/>
                <w:color w:val="FF0000"/>
                <w:sz w:val="21"/>
                <w:szCs w:val="21"/>
                <w:lang w:val="en-US" w:eastAsia="zh-CN"/>
              </w:rPr>
            </w:pPr>
            <w:r>
              <w:rPr>
                <w:b/>
                <w:bCs/>
                <w:color w:val="FF0000"/>
                <w:sz w:val="21"/>
                <w:szCs w:val="21"/>
              </w:rPr>
              <w:t>4.10</w:t>
            </w:r>
          </w:p>
        </w:tc>
        <w:tc>
          <w:tcPr>
            <w:tcW w:w="1554" w:type="dxa"/>
            <w:shd w:val="clear" w:color="auto" w:fill="F1F1F1" w:themeFill="background1" w:themeFillShade="F2"/>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2174336" behindDoc="0" locked="0" layoutInCell="1" allowOverlap="1">
                  <wp:simplePos x="0" y="0"/>
                  <wp:positionH relativeFrom="column">
                    <wp:posOffset>52705</wp:posOffset>
                  </wp:positionH>
                  <wp:positionV relativeFrom="paragraph">
                    <wp:posOffset>130175</wp:posOffset>
                  </wp:positionV>
                  <wp:extent cx="171450" cy="295275"/>
                  <wp:effectExtent l="0" t="0" r="0" b="9525"/>
                  <wp:wrapNone/>
                  <wp:docPr id="94"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b/>
                <w:bCs/>
                <w:color w:val="FF0000"/>
                <w:sz w:val="18"/>
                <w:szCs w:val="18"/>
              </w:rPr>
              <w:t>0.16</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4.06%</w:t>
            </w:r>
          </w:p>
        </w:tc>
        <w:tc>
          <w:tcPr>
            <w:tcW w:w="1814" w:type="dxa"/>
            <w:shd w:val="clear" w:color="auto" w:fill="F1F1F1" w:themeFill="background1" w:themeFillShade="F2"/>
            <w:vAlign w:val="center"/>
          </w:tcPr>
          <w:p>
            <w:pPr>
              <w:numPr>
                <w:ilvl w:val="0"/>
                <w:numId w:val="0"/>
              </w:numPr>
              <w:jc w:val="center"/>
              <w:rPr>
                <w:rFonts w:hint="default"/>
                <w:b/>
                <w:bCs/>
                <w:color w:val="auto"/>
                <w:sz w:val="24"/>
                <w:szCs w:val="24"/>
              </w:rPr>
            </w:pPr>
            <w:r>
              <w:rPr>
                <w:b/>
                <w:bCs/>
                <w:color w:val="auto"/>
                <w:sz w:val="24"/>
                <w:szCs w:val="24"/>
              </w:rPr>
              <w:t>BBD:</w:t>
            </w:r>
            <w:r>
              <w:rPr>
                <w:rFonts w:hint="default"/>
                <w:b/>
                <w:bCs/>
                <w:color w:val="FF0000"/>
                <w:sz w:val="24"/>
                <w:szCs w:val="24"/>
              </w:rPr>
              <w:t>975</w:t>
            </w:r>
            <w:r>
              <w:rPr>
                <w:rFonts w:hint="default"/>
                <w:b/>
                <w:bCs/>
                <w:color w:val="auto"/>
                <w:sz w:val="24"/>
                <w:szCs w:val="24"/>
              </w:rPr>
              <w:t>万</w:t>
            </w:r>
          </w:p>
          <w:p>
            <w:pPr>
              <w:numPr>
                <w:ilvl w:val="0"/>
                <w:numId w:val="0"/>
              </w:numPr>
              <w:jc w:val="center"/>
              <w:rPr>
                <w:rFonts w:hint="default"/>
                <w:b/>
                <w:bCs/>
                <w:color w:val="auto"/>
                <w:sz w:val="24"/>
                <w:szCs w:val="24"/>
                <w:lang w:val="en-US" w:eastAsia="zh-CN"/>
              </w:rPr>
            </w:pPr>
            <w:r>
              <w:rPr>
                <w:b/>
                <w:bCs/>
                <w:color w:val="auto"/>
                <w:sz w:val="24"/>
                <w:szCs w:val="24"/>
              </w:rPr>
              <w:t>换手率:4.12%</w:t>
            </w:r>
          </w:p>
        </w:tc>
        <w:tc>
          <w:tcPr>
            <w:tcW w:w="3722" w:type="dxa"/>
            <w:shd w:val="clear" w:color="auto" w:fill="F1F1F1" w:themeFill="background1" w:themeFillShade="F2"/>
            <w:vAlign w:val="center"/>
          </w:tcPr>
          <w:p>
            <w:pPr>
              <w:numPr>
                <w:ilvl w:val="0"/>
                <w:numId w:val="0"/>
              </w:num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大洋电机：与深圳市西湖新能源交通发展有限公司共同布局全球新能源汽车产业运营新式业嘉设</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vAlign w:val="center"/>
          </w:tcPr>
          <w:p>
            <w:pPr>
              <w:numPr>
                <w:ilvl w:val="0"/>
                <w:numId w:val="0"/>
              </w:num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"http://www.dingniugu.com/dde/002140.html"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东华科技</w:t>
            </w:r>
            <w:r>
              <w:rPr>
                <w:rFonts w:hint="default"/>
                <w:b/>
                <w:bCs/>
                <w:sz w:val="28"/>
                <w:szCs w:val="28"/>
                <w:lang w:val="en-US" w:eastAsia="zh-CN"/>
              </w:rPr>
              <w:fldChar w:fldCharType="end"/>
            </w:r>
          </w:p>
          <w:p>
            <w:pPr>
              <w:numPr>
                <w:ilvl w:val="0"/>
                <w:numId w:val="0"/>
              </w:numPr>
              <w:jc w:val="center"/>
              <w:rPr>
                <w:rFonts w:hint="default"/>
                <w:b/>
                <w:bCs/>
                <w:color w:val="auto"/>
                <w:sz w:val="28"/>
                <w:szCs w:val="28"/>
                <w:lang w:val="en-US" w:eastAsia="zh-CN"/>
              </w:rPr>
            </w:pPr>
            <w:r>
              <w:rPr>
                <w:b/>
                <w:bCs/>
                <w:color w:val="auto"/>
                <w:sz w:val="28"/>
                <w:szCs w:val="28"/>
              </w:rPr>
              <w:t>002140</w:t>
            </w:r>
          </w:p>
        </w:tc>
        <w:tc>
          <w:tcPr>
            <w:tcW w:w="766" w:type="dxa"/>
            <w:vAlign w:val="center"/>
          </w:tcPr>
          <w:p>
            <w:pPr>
              <w:numPr>
                <w:ilvl w:val="0"/>
                <w:numId w:val="0"/>
              </w:numPr>
              <w:jc w:val="center"/>
              <w:rPr>
                <w:rFonts w:hint="default"/>
                <w:b/>
                <w:bCs/>
                <w:color w:val="FF0000"/>
                <w:sz w:val="21"/>
                <w:szCs w:val="21"/>
                <w:lang w:val="en-US" w:eastAsia="zh-CN"/>
              </w:rPr>
            </w:pPr>
            <w:r>
              <w:rPr>
                <w:b/>
                <w:bCs/>
                <w:color w:val="FF0000"/>
                <w:sz w:val="21"/>
                <w:szCs w:val="21"/>
              </w:rPr>
              <w:t>7.25</w:t>
            </w:r>
          </w:p>
        </w:tc>
        <w:tc>
          <w:tcPr>
            <w:tcW w:w="1554" w:type="dxa"/>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2042240" behindDoc="1" locked="0" layoutInCell="1" allowOverlap="1">
                  <wp:simplePos x="0" y="0"/>
                  <wp:positionH relativeFrom="column">
                    <wp:posOffset>52705</wp:posOffset>
                  </wp:positionH>
                  <wp:positionV relativeFrom="paragraph">
                    <wp:posOffset>130175</wp:posOffset>
                  </wp:positionV>
                  <wp:extent cx="171450" cy="295275"/>
                  <wp:effectExtent l="0" t="0" r="0" b="9525"/>
                  <wp:wrapNone/>
                  <wp:docPr id="96" name="图片 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0.27</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3.87%</w:t>
            </w:r>
          </w:p>
        </w:tc>
        <w:tc>
          <w:tcPr>
            <w:tcW w:w="1814" w:type="dxa"/>
            <w:vAlign w:val="center"/>
          </w:tcPr>
          <w:p>
            <w:pPr>
              <w:numPr>
                <w:ilvl w:val="0"/>
                <w:numId w:val="0"/>
              </w:numPr>
              <w:jc w:val="center"/>
              <w:rPr>
                <w:rFonts w:hint="default"/>
                <w:b/>
                <w:bCs/>
                <w:color w:val="auto"/>
                <w:sz w:val="24"/>
                <w:szCs w:val="24"/>
              </w:rPr>
            </w:pPr>
            <w:r>
              <w:rPr>
                <w:b/>
                <w:bCs/>
                <w:color w:val="auto"/>
                <w:sz w:val="24"/>
                <w:szCs w:val="24"/>
              </w:rPr>
              <w:t>BBD:</w:t>
            </w:r>
            <w:r>
              <w:rPr>
                <w:rFonts w:hint="default"/>
                <w:b/>
                <w:bCs/>
                <w:color w:val="FF0000"/>
                <w:sz w:val="24"/>
                <w:szCs w:val="24"/>
              </w:rPr>
              <w:t>32</w:t>
            </w:r>
            <w:r>
              <w:rPr>
                <w:rFonts w:hint="default"/>
                <w:b/>
                <w:bCs/>
                <w:color w:val="auto"/>
                <w:sz w:val="24"/>
                <w:szCs w:val="24"/>
              </w:rPr>
              <w:t>万</w:t>
            </w:r>
          </w:p>
          <w:p>
            <w:pPr>
              <w:numPr>
                <w:ilvl w:val="0"/>
                <w:numId w:val="0"/>
              </w:numPr>
              <w:jc w:val="center"/>
              <w:rPr>
                <w:rFonts w:hint="default"/>
                <w:b/>
                <w:bCs/>
                <w:color w:val="auto"/>
                <w:sz w:val="24"/>
                <w:szCs w:val="24"/>
                <w:lang w:val="en-US" w:eastAsia="zh-CN"/>
              </w:rPr>
            </w:pPr>
            <w:r>
              <w:rPr>
                <w:b/>
                <w:bCs/>
                <w:color w:val="auto"/>
                <w:sz w:val="24"/>
                <w:szCs w:val="24"/>
              </w:rPr>
              <w:t>换手率:1.41%</w:t>
            </w:r>
          </w:p>
        </w:tc>
        <w:tc>
          <w:tcPr>
            <w:tcW w:w="372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公司在互动平台称煤制氢是一种传统的化工工艺，公司在制氧方面已拥有较为成熟的技术，并配有多套工业配套装置的建设业绩。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shd w:val="clear" w:color="auto" w:fill="F1F1F1" w:themeFill="background1" w:themeFillShade="F2"/>
            <w:vAlign w:val="center"/>
          </w:tcPr>
          <w:p>
            <w:pPr>
              <w:numPr>
                <w:ilvl w:val="0"/>
                <w:numId w:val="0"/>
              </w:num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"http://www.dingniugu.com/dde/000635.html"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英 力 特</w:t>
            </w:r>
            <w:r>
              <w:rPr>
                <w:rFonts w:hint="default"/>
                <w:b/>
                <w:bCs/>
                <w:sz w:val="28"/>
                <w:szCs w:val="28"/>
                <w:lang w:val="en-US" w:eastAsia="zh-CN"/>
              </w:rPr>
              <w:fldChar w:fldCharType="end"/>
            </w:r>
          </w:p>
          <w:p>
            <w:pPr>
              <w:numPr>
                <w:ilvl w:val="0"/>
                <w:numId w:val="0"/>
              </w:numPr>
              <w:jc w:val="center"/>
              <w:rPr>
                <w:rFonts w:hint="default"/>
                <w:b/>
                <w:bCs/>
                <w:color w:val="auto"/>
                <w:sz w:val="28"/>
                <w:szCs w:val="28"/>
                <w:lang w:val="en-US" w:eastAsia="zh-CN"/>
              </w:rPr>
            </w:pPr>
            <w:r>
              <w:rPr>
                <w:b/>
                <w:bCs/>
                <w:color w:val="auto"/>
                <w:sz w:val="28"/>
                <w:szCs w:val="28"/>
              </w:rPr>
              <w:t>000635</w:t>
            </w:r>
          </w:p>
        </w:tc>
        <w:tc>
          <w:tcPr>
            <w:tcW w:w="766" w:type="dxa"/>
            <w:shd w:val="clear" w:color="auto" w:fill="F1F1F1" w:themeFill="background1" w:themeFillShade="F2"/>
            <w:vAlign w:val="center"/>
          </w:tcPr>
          <w:p>
            <w:pPr>
              <w:numPr>
                <w:ilvl w:val="0"/>
                <w:numId w:val="0"/>
              </w:numPr>
              <w:jc w:val="center"/>
              <w:rPr>
                <w:rFonts w:hint="default"/>
                <w:b/>
                <w:bCs/>
                <w:color w:val="FF0000"/>
                <w:sz w:val="21"/>
                <w:szCs w:val="21"/>
                <w:lang w:val="en-US" w:eastAsia="zh-CN"/>
              </w:rPr>
            </w:pPr>
            <w:r>
              <w:rPr>
                <w:b/>
                <w:bCs/>
                <w:color w:val="FF0000"/>
                <w:sz w:val="21"/>
                <w:szCs w:val="21"/>
              </w:rPr>
              <w:t>8.68</w:t>
            </w:r>
          </w:p>
        </w:tc>
        <w:tc>
          <w:tcPr>
            <w:tcW w:w="1554" w:type="dxa"/>
            <w:shd w:val="clear" w:color="auto" w:fill="F1F1F1" w:themeFill="background1" w:themeFillShade="F2"/>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2173312" behindDoc="0" locked="0" layoutInCell="1" allowOverlap="1">
                  <wp:simplePos x="0" y="0"/>
                  <wp:positionH relativeFrom="column">
                    <wp:posOffset>52705</wp:posOffset>
                  </wp:positionH>
                  <wp:positionV relativeFrom="paragraph">
                    <wp:posOffset>130175</wp:posOffset>
                  </wp:positionV>
                  <wp:extent cx="171450" cy="295275"/>
                  <wp:effectExtent l="0" t="0" r="0" b="9525"/>
                  <wp:wrapNone/>
                  <wp:docPr id="98"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0.2</w:t>
            </w:r>
            <w:r>
              <w:rPr>
                <w:rFonts w:hint="eastAsia"/>
                <w:b/>
                <w:bCs/>
                <w:color w:val="FF0000"/>
                <w:sz w:val="18"/>
                <w:szCs w:val="18"/>
                <w:lang w:val="en-US" w:eastAsia="zh-CN"/>
              </w:rPr>
              <w:t>9</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3.46%</w:t>
            </w:r>
          </w:p>
        </w:tc>
        <w:tc>
          <w:tcPr>
            <w:tcW w:w="1814" w:type="dxa"/>
            <w:shd w:val="clear" w:color="auto" w:fill="F1F1F1" w:themeFill="background1" w:themeFillShade="F2"/>
            <w:vAlign w:val="center"/>
          </w:tcPr>
          <w:p>
            <w:pPr>
              <w:numPr>
                <w:ilvl w:val="0"/>
                <w:numId w:val="0"/>
              </w:numPr>
              <w:jc w:val="center"/>
              <w:rPr>
                <w:rFonts w:hint="default"/>
                <w:b/>
                <w:bCs/>
                <w:color w:val="auto"/>
                <w:sz w:val="24"/>
                <w:szCs w:val="24"/>
              </w:rPr>
            </w:pPr>
            <w:r>
              <w:rPr>
                <w:b/>
                <w:bCs/>
                <w:color w:val="auto"/>
                <w:sz w:val="24"/>
                <w:szCs w:val="24"/>
              </w:rPr>
              <w:t>BBD:</w:t>
            </w:r>
            <w:r>
              <w:rPr>
                <w:rFonts w:hint="default"/>
                <w:b/>
                <w:bCs/>
                <w:color w:val="FF0000"/>
                <w:sz w:val="24"/>
                <w:szCs w:val="24"/>
              </w:rPr>
              <w:t>1057</w:t>
            </w:r>
            <w:r>
              <w:rPr>
                <w:rFonts w:hint="default"/>
                <w:b/>
                <w:bCs/>
                <w:color w:val="auto"/>
                <w:sz w:val="24"/>
                <w:szCs w:val="24"/>
              </w:rPr>
              <w:t>万</w:t>
            </w:r>
          </w:p>
          <w:p>
            <w:pPr>
              <w:numPr>
                <w:ilvl w:val="0"/>
                <w:numId w:val="0"/>
              </w:numPr>
              <w:jc w:val="center"/>
              <w:rPr>
                <w:rFonts w:hint="default"/>
                <w:b/>
                <w:bCs/>
                <w:color w:val="auto"/>
                <w:sz w:val="24"/>
                <w:szCs w:val="24"/>
                <w:lang w:val="en-US" w:eastAsia="zh-CN"/>
              </w:rPr>
            </w:pPr>
            <w:r>
              <w:rPr>
                <w:b/>
                <w:bCs/>
                <w:color w:val="auto"/>
                <w:sz w:val="24"/>
                <w:szCs w:val="24"/>
              </w:rPr>
              <w:t>换手率:3.98%</w:t>
            </w:r>
          </w:p>
        </w:tc>
        <w:tc>
          <w:tcPr>
            <w:tcW w:w="3722" w:type="dxa"/>
            <w:shd w:val="clear" w:color="auto" w:fill="F1F1F1" w:themeFill="background1" w:themeFillShade="F2"/>
            <w:vAlign w:val="center"/>
          </w:tcPr>
          <w:p>
            <w:pPr>
              <w:numPr>
                <w:ilvl w:val="0"/>
                <w:numId w:val="0"/>
              </w:num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2020年7月9日互动平台回复：公司水电解制氢项目主体已完工，按照国家相关标准在达到预定可使用状态后，进行验收并投入运行。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880" w:type="dxa"/>
            <w:vAlign w:val="center"/>
          </w:tcPr>
          <w:p>
            <w:pPr>
              <w:numPr>
                <w:ilvl w:val="0"/>
                <w:numId w:val="0"/>
              </w:numPr>
              <w:jc w:val="center"/>
              <w:rPr>
                <w:rFonts w:hint="default"/>
                <w:b/>
                <w:bCs/>
                <w:color w:val="auto"/>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"http://www.dingniugu.com/dde/300068.html"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南都电源</w:t>
            </w:r>
            <w:r>
              <w:rPr>
                <w:rFonts w:hint="default"/>
                <w:b/>
                <w:bCs/>
                <w:sz w:val="28"/>
                <w:szCs w:val="28"/>
                <w:lang w:val="en-US" w:eastAsia="zh-CN"/>
              </w:rPr>
              <w:fldChar w:fldCharType="end"/>
            </w:r>
            <w:r>
              <w:rPr>
                <w:rFonts w:hint="default"/>
                <w:b/>
                <w:bCs/>
                <w:color w:val="auto"/>
                <w:sz w:val="28"/>
                <w:szCs w:val="28"/>
              </w:rPr>
              <w:br w:type="textWrapping"/>
            </w:r>
            <w:r>
              <w:rPr>
                <w:b/>
                <w:bCs/>
                <w:color w:val="auto"/>
                <w:sz w:val="28"/>
                <w:szCs w:val="28"/>
              </w:rPr>
              <w:t>300068</w:t>
            </w:r>
          </w:p>
        </w:tc>
        <w:tc>
          <w:tcPr>
            <w:tcW w:w="766" w:type="dxa"/>
            <w:vAlign w:val="center"/>
          </w:tcPr>
          <w:p>
            <w:pPr>
              <w:numPr>
                <w:ilvl w:val="0"/>
                <w:numId w:val="0"/>
              </w:numPr>
              <w:jc w:val="center"/>
              <w:rPr>
                <w:rFonts w:hint="default"/>
                <w:b/>
                <w:bCs/>
                <w:color w:val="FF0000"/>
                <w:sz w:val="21"/>
                <w:szCs w:val="21"/>
                <w:lang w:val="en-US" w:eastAsia="zh-CN"/>
              </w:rPr>
            </w:pPr>
            <w:r>
              <w:rPr>
                <w:b/>
                <w:bCs/>
                <w:color w:val="FF0000"/>
                <w:sz w:val="21"/>
                <w:szCs w:val="21"/>
              </w:rPr>
              <w:t>15.60</w:t>
            </w:r>
          </w:p>
        </w:tc>
        <w:tc>
          <w:tcPr>
            <w:tcW w:w="1554" w:type="dxa"/>
            <w:vAlign w:val="center"/>
          </w:tcPr>
          <w:p>
            <w:pPr>
              <w:numPr>
                <w:ilvl w:val="0"/>
                <w:numId w:val="0"/>
              </w:numPr>
              <w:jc w:val="center"/>
              <w:rPr>
                <w:rFonts w:hint="eastAsia"/>
                <w:b/>
                <w:bCs/>
                <w:color w:val="FF0000"/>
                <w:sz w:val="18"/>
                <w:szCs w:val="18"/>
                <w:lang w:val="en-US" w:eastAsia="zh-CN"/>
              </w:rPr>
            </w:pPr>
            <w:r>
              <w:rPr>
                <w:rFonts w:hint="default"/>
                <w:b/>
                <w:bCs/>
                <w:color w:val="FF0000"/>
                <w:sz w:val="18"/>
                <w:szCs w:val="18"/>
                <w:lang w:val="en-US"/>
              </w:rPr>
              <w:drawing>
                <wp:anchor distT="0" distB="0" distL="114300" distR="114300" simplePos="0" relativeHeight="252305408" behindDoc="1" locked="0" layoutInCell="1" allowOverlap="1">
                  <wp:simplePos x="0" y="0"/>
                  <wp:positionH relativeFrom="column">
                    <wp:posOffset>52705</wp:posOffset>
                  </wp:positionH>
                  <wp:positionV relativeFrom="paragraph">
                    <wp:posOffset>130175</wp:posOffset>
                  </wp:positionV>
                  <wp:extent cx="171450" cy="295275"/>
                  <wp:effectExtent l="0" t="0" r="0" b="9525"/>
                  <wp:wrapNone/>
                  <wp:docPr id="100" name="图片 1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IMG_256"/>
                          <pic:cNvPicPr>
                            <a:picLocks noChangeAspect="1"/>
                          </pic:cNvPicPr>
                        </pic:nvPicPr>
                        <pic:blipFill>
                          <a:blip r:embed="rId15"/>
                          <a:stretch>
                            <a:fillRect/>
                          </a:stretch>
                        </pic:blipFill>
                        <pic:spPr>
                          <a:xfrm>
                            <a:off x="0" y="0"/>
                            <a:ext cx="171450" cy="295275"/>
                          </a:xfrm>
                          <a:prstGeom prst="rect">
                            <a:avLst/>
                          </a:prstGeom>
                          <a:noFill/>
                          <a:ln w="9525">
                            <a:noFill/>
                          </a:ln>
                        </pic:spPr>
                      </pic:pic>
                    </a:graphicData>
                  </a:graphic>
                </wp:anchor>
              </w:drawing>
            </w:r>
            <w:r>
              <w:rPr>
                <w:rFonts w:hint="eastAsia"/>
                <w:b/>
                <w:bCs/>
                <w:color w:val="FF0000"/>
                <w:sz w:val="18"/>
                <w:szCs w:val="18"/>
                <w:lang w:val="en-US" w:eastAsia="zh-CN"/>
              </w:rPr>
              <w:t xml:space="preserve">  </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0.</w:t>
            </w:r>
            <w:r>
              <w:rPr>
                <w:rFonts w:hint="eastAsia"/>
                <w:b/>
                <w:bCs/>
                <w:color w:val="FF0000"/>
                <w:sz w:val="18"/>
                <w:szCs w:val="18"/>
                <w:lang w:val="en-US" w:eastAsia="zh-CN"/>
              </w:rPr>
              <w:t>49</w:t>
            </w:r>
          </w:p>
          <w:p>
            <w:pPr>
              <w:numPr>
                <w:ilvl w:val="0"/>
                <w:numId w:val="0"/>
              </w:numPr>
              <w:jc w:val="center"/>
              <w:rPr>
                <w:rFonts w:hint="default"/>
                <w:b/>
                <w:bCs/>
                <w:color w:val="FF0000"/>
                <w:sz w:val="18"/>
                <w:szCs w:val="18"/>
                <w:lang w:val="en-US" w:eastAsia="zh-CN"/>
              </w:rPr>
            </w:pPr>
            <w:r>
              <w:rPr>
                <w:rFonts w:hint="eastAsia"/>
                <w:b/>
                <w:bCs/>
                <w:color w:val="FF0000"/>
                <w:sz w:val="18"/>
                <w:szCs w:val="18"/>
                <w:lang w:val="en-US" w:eastAsia="zh-CN"/>
              </w:rPr>
              <w:t xml:space="preserve">    </w:t>
            </w:r>
            <w:r>
              <w:rPr>
                <w:rFonts w:hint="eastAsia"/>
                <w:b/>
                <w:bCs/>
                <w:color w:val="FF0000"/>
                <w:sz w:val="18"/>
                <w:szCs w:val="18"/>
              </w:rPr>
              <w:t>3.24%</w:t>
            </w:r>
          </w:p>
        </w:tc>
        <w:tc>
          <w:tcPr>
            <w:tcW w:w="1814" w:type="dxa"/>
            <w:vAlign w:val="center"/>
          </w:tcPr>
          <w:p>
            <w:pPr>
              <w:numPr>
                <w:ilvl w:val="0"/>
                <w:numId w:val="0"/>
              </w:numPr>
              <w:jc w:val="center"/>
              <w:rPr>
                <w:rFonts w:hint="default"/>
                <w:b/>
                <w:bCs/>
                <w:color w:val="auto"/>
                <w:sz w:val="24"/>
                <w:szCs w:val="24"/>
              </w:rPr>
            </w:pPr>
            <w:r>
              <w:rPr>
                <w:b/>
                <w:bCs/>
                <w:color w:val="auto"/>
                <w:sz w:val="24"/>
                <w:szCs w:val="24"/>
              </w:rPr>
              <w:t>BBD</w:t>
            </w:r>
            <w:r>
              <w:rPr>
                <w:b/>
                <w:bCs/>
                <w:color w:val="FF0000"/>
                <w:sz w:val="24"/>
                <w:szCs w:val="24"/>
              </w:rPr>
              <w:t>:</w:t>
            </w:r>
            <w:r>
              <w:rPr>
                <w:rFonts w:hint="default"/>
                <w:b/>
                <w:bCs/>
                <w:color w:val="FF0000"/>
                <w:sz w:val="24"/>
                <w:szCs w:val="24"/>
              </w:rPr>
              <w:t>1811</w:t>
            </w:r>
            <w:r>
              <w:rPr>
                <w:rFonts w:hint="default"/>
                <w:b/>
                <w:bCs/>
                <w:color w:val="auto"/>
                <w:sz w:val="24"/>
                <w:szCs w:val="24"/>
              </w:rPr>
              <w:t>万</w:t>
            </w:r>
          </w:p>
          <w:p>
            <w:pPr>
              <w:numPr>
                <w:ilvl w:val="0"/>
                <w:numId w:val="0"/>
              </w:numPr>
              <w:jc w:val="center"/>
              <w:rPr>
                <w:rFonts w:hint="default"/>
                <w:b/>
                <w:bCs/>
                <w:color w:val="auto"/>
                <w:sz w:val="24"/>
                <w:szCs w:val="24"/>
                <w:lang w:val="en-US" w:eastAsia="zh-CN"/>
              </w:rPr>
            </w:pPr>
            <w:r>
              <w:rPr>
                <w:b/>
                <w:bCs/>
                <w:color w:val="auto"/>
                <w:sz w:val="24"/>
                <w:szCs w:val="24"/>
              </w:rPr>
              <w:t>换手率:2.09%</w:t>
            </w:r>
          </w:p>
        </w:tc>
        <w:tc>
          <w:tcPr>
            <w:tcW w:w="372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lang w:val="en-US" w:eastAsia="zh-CN"/>
              </w:rPr>
              <w:t>2020年9月23日公告披露：公司于近日与中国科学院大连化学物理研究所签署《产权交易合同》，公司以 11,000 万元人民币现金收购大连化物所持有的新源动力17.86%股权，成为新源动力第二大股东。</w:t>
            </w:r>
          </w:p>
        </w:tc>
      </w:tr>
    </w:tbl>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right="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right"/>
        <w:rPr>
          <w:rFonts w:hint="default" w:ascii="Trebuchet MS" w:eastAsia="宋体"/>
          <w:sz w:val="21"/>
          <w:lang w:val="en-US" w:eastAsia="zh-CN"/>
        </w:rPr>
      </w:pPr>
      <w:r>
        <w:rPr>
          <w:rFonts w:hint="eastAsia" w:ascii="Trebuchet MS" w:eastAsia="宋体"/>
          <w:sz w:val="21"/>
          <w:lang w:val="en-US" w:eastAsia="zh-CN"/>
        </w:rPr>
        <w:t xml:space="preserve">       </w:t>
      </w: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before="96"/>
        <w:ind w:left="705" w:right="0" w:firstLine="0"/>
        <w:jc w:val="left"/>
        <w:rPr>
          <w:rFonts w:hint="default" w:ascii="Trebuchet MS" w:eastAsia="Trebuchet MS"/>
          <w:sz w:val="21"/>
          <w:lang w:val="en-US"/>
        </w:rPr>
      </w:pPr>
      <w:r>
        <w:rPr>
          <w:rFonts w:hint="eastAsia" w:ascii="Trebuchet MS" w:eastAsia="宋体"/>
          <w:sz w:val="21"/>
          <w:lang w:val="en-US" w:eastAsia="zh-CN"/>
        </w:rPr>
        <w:t xml:space="preserve">                        数据来源：wind、氢能俱乐部</w:t>
      </w:r>
    </w:p>
    <w:p>
      <w:pPr>
        <w:spacing w:before="96"/>
        <w:ind w:left="705" w:right="0" w:firstLine="0"/>
        <w:jc w:val="left"/>
        <w:rPr>
          <w:rFonts w:ascii="Trebuchet MS" w:eastAsia="Trebuchet MS"/>
          <w:sz w:val="21"/>
        </w:rPr>
      </w:pPr>
    </w:p>
    <w:p>
      <w:pPr>
        <w:spacing w:before="96"/>
        <w:ind w:left="705" w:right="0" w:firstLine="0"/>
        <w:jc w:val="left"/>
        <w:rPr>
          <w:rFonts w:ascii="Trebuchet MS" w:eastAsia="Trebuchet MS"/>
          <w:sz w:val="21"/>
        </w:rPr>
      </w:pPr>
    </w:p>
    <w:p>
      <w:pPr>
        <w:spacing w:after="0"/>
        <w:jc w:val="left"/>
        <w:rPr>
          <w:sz w:val="18"/>
        </w:rPr>
        <w:sectPr>
          <w:type w:val="continuous"/>
          <w:pgSz w:w="11910" w:h="16840"/>
          <w:pgMar w:top="440" w:right="0" w:bottom="1260" w:left="120" w:header="720" w:footer="720" w:gutter="0"/>
          <w:cols w:equalWidth="0" w:num="2">
            <w:col w:w="5518" w:space="40"/>
            <w:col w:w="6232"/>
          </w:cols>
        </w:sectPr>
      </w:pPr>
    </w:p>
    <w:p>
      <w:pPr>
        <w:pStyle w:val="4"/>
        <w:numPr>
          <w:ilvl w:val="0"/>
          <w:numId w:val="0"/>
        </w:numPr>
        <w:spacing w:before="14"/>
        <w:ind w:right="0" w:rightChars="0"/>
        <w:rPr>
          <w:rFonts w:hint="default" w:ascii="微软雅黑"/>
          <w:b/>
          <w:sz w:val="19"/>
          <w:lang w:val="en-US" w:eastAsia="zh-CN"/>
        </w:rPr>
      </w:pPr>
    </w:p>
    <w:p>
      <w:pPr>
        <w:pStyle w:val="4"/>
        <w:numPr>
          <w:ilvl w:val="0"/>
          <w:numId w:val="0"/>
        </w:numPr>
        <w:spacing w:before="14"/>
        <w:ind w:right="0" w:rightChars="0"/>
        <w:rPr>
          <w:rFonts w:hint="default" w:ascii="微软雅黑"/>
          <w:b/>
          <w:sz w:val="19"/>
          <w:lang w:val="en-US" w:eastAsia="zh-CN"/>
        </w:rPr>
      </w:pPr>
    </w:p>
    <w:p>
      <w:pPr>
        <w:spacing w:before="102" w:after="18"/>
        <w:ind w:left="900" w:right="0" w:firstLine="0"/>
        <w:jc w:val="left"/>
        <w:rPr>
          <w:rFonts w:hint="default"/>
          <w:sz w:val="21"/>
          <w:lang w:val="en-US"/>
        </w:rPr>
      </w:pPr>
      <w:r>
        <w:rPr>
          <w:rFonts w:hint="eastAsia" w:ascii="Arial" w:eastAsia="宋体"/>
          <w:b/>
          <w:sz w:val="22"/>
          <w:lang w:val="en-US" w:eastAsia="zh-CN"/>
        </w:rPr>
        <w:t>图四  周跌幅前十</w:t>
      </w:r>
    </w:p>
    <w:p>
      <w:pPr>
        <w:pStyle w:val="4"/>
        <w:spacing w:line="20" w:lineRule="exact"/>
        <w:ind w:left="895"/>
        <w:rPr>
          <w:sz w:val="2"/>
        </w:rPr>
      </w:pPr>
      <w:r>
        <w:rPr>
          <w:sz w:val="2"/>
        </w:rPr>
        <w:pict>
          <v:group id="_x0000_s3243" o:spid="_x0000_s3243" o:spt="203" style="height:0.5pt;width:493.3pt;" coordsize="9866,10">
            <o:lock v:ext="edit" aspectratio="f"/>
            <v:line id="_x0000_s3244" o:spid="_x0000_s3244" o:spt="20" style="position:absolute;left:0;top:5;height:0;width:9866;" filled="f" stroked="t" coordsize="21600,21600">
              <v:path arrowok="t"/>
              <v:fill on="f" focussize="0,0"/>
              <v:stroke weight="0.48pt" color="#4F81BC"/>
              <v:imagedata o:title=""/>
              <o:lock v:ext="edit" aspectratio="f"/>
            </v:line>
            <w10:wrap type="none"/>
            <w10:anchorlock/>
          </v:group>
        </w:pict>
      </w:r>
    </w:p>
    <w:p>
      <w:pPr>
        <w:tabs>
          <w:tab w:val="left" w:pos="2988"/>
          <w:tab w:val="left" w:pos="4308"/>
          <w:tab w:val="left" w:pos="5673"/>
          <w:tab w:val="left" w:pos="7105"/>
          <w:tab w:val="left" w:pos="8447"/>
          <w:tab w:val="left" w:pos="9812"/>
        </w:tabs>
        <w:spacing w:before="4"/>
        <w:ind w:left="1623" w:right="0" w:firstLine="0"/>
        <w:jc w:val="left"/>
        <w:rPr>
          <w:rFonts w:hint="eastAsia" w:ascii="Times New Roman"/>
          <w:sz w:val="18"/>
          <w:lang w:val="en-US" w:eastAsia="zh-CN"/>
        </w:rPr>
      </w:pPr>
    </w:p>
    <w:p>
      <w:pPr>
        <w:tabs>
          <w:tab w:val="left" w:pos="2988"/>
          <w:tab w:val="left" w:pos="4308"/>
          <w:tab w:val="left" w:pos="5673"/>
          <w:tab w:val="left" w:pos="7105"/>
          <w:tab w:val="left" w:pos="8447"/>
          <w:tab w:val="left" w:pos="9812"/>
        </w:tabs>
        <w:spacing w:before="4"/>
        <w:ind w:right="0"/>
        <w:jc w:val="left"/>
        <w:rPr>
          <w:rFonts w:hint="eastAsia" w:ascii="Times New Roman"/>
          <w:sz w:val="18"/>
          <w:lang w:val="en-US" w:eastAsia="zh-CN"/>
        </w:rPr>
      </w:pPr>
      <w:r>
        <w:rPr>
          <w:rFonts w:hint="eastAsia" w:ascii="Times New Roman"/>
          <w:sz w:val="18"/>
          <w:lang w:val="en-US" w:eastAsia="zh-CN"/>
        </w:rPr>
        <w:t xml:space="preserve"> </w:t>
      </w:r>
    </w:p>
    <w:tbl>
      <w:tblPr>
        <w:tblStyle w:val="10"/>
        <w:tblW w:w="98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778"/>
        <w:gridCol w:w="1554"/>
        <w:gridCol w:w="181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shd w:val="clear" w:color="auto" w:fill="F1F1F1" w:themeFill="background1" w:themeFillShade="F2"/>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"http://www.dingniugu.com/dde/600277.html"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亿利洁能</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600277</w:t>
            </w:r>
          </w:p>
        </w:tc>
        <w:tc>
          <w:tcPr>
            <w:tcW w:w="778" w:type="dxa"/>
            <w:shd w:val="clear" w:color="auto" w:fill="F1F1F1" w:themeFill="background1" w:themeFillShade="F2"/>
            <w:vAlign w:val="center"/>
          </w:tcPr>
          <w:p>
            <w:pPr>
              <w:jc w:val="center"/>
              <w:rPr>
                <w:rFonts w:hint="default"/>
                <w:b/>
                <w:bCs/>
                <w:color w:val="00B050"/>
                <w:sz w:val="21"/>
                <w:szCs w:val="21"/>
                <w:lang w:val="en-US" w:eastAsia="zh-CN"/>
              </w:rPr>
            </w:pPr>
            <w:r>
              <w:rPr>
                <w:b/>
                <w:bCs/>
                <w:color w:val="00B050"/>
                <w:sz w:val="21"/>
                <w:szCs w:val="21"/>
              </w:rPr>
              <w:t>3.21</w:t>
            </w:r>
          </w:p>
        </w:tc>
        <w:tc>
          <w:tcPr>
            <w:tcW w:w="1554" w:type="dxa"/>
            <w:shd w:val="clear" w:color="auto" w:fill="F1F1F1" w:themeFill="background1" w:themeFillShade="F2"/>
            <w:vAlign w:val="center"/>
          </w:tcPr>
          <w:p>
            <w:pPr>
              <w:jc w:val="center"/>
              <w:rPr>
                <w:b/>
                <w:bCs/>
                <w:color w:val="00B050"/>
                <w:sz w:val="18"/>
                <w:szCs w:val="18"/>
              </w:rPr>
            </w:pP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230540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0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01</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-0.31%</w:t>
            </w:r>
          </w:p>
        </w:tc>
        <w:tc>
          <w:tcPr>
            <w:tcW w:w="1810" w:type="dxa"/>
            <w:shd w:val="clear" w:color="auto" w:fill="F1F1F1" w:themeFill="background1" w:themeFillShade="F2"/>
            <w:vAlign w:val="center"/>
          </w:tcPr>
          <w:p>
            <w:pPr>
              <w:jc w:val="center"/>
              <w:rPr>
                <w:rFonts w:hint="default"/>
                <w:b/>
                <w:bCs/>
                <w:sz w:val="24"/>
                <w:szCs w:val="24"/>
              </w:rPr>
            </w:pPr>
            <w:r>
              <w:rPr>
                <w:b/>
                <w:bCs/>
                <w:sz w:val="24"/>
                <w:szCs w:val="24"/>
              </w:rPr>
              <w:t>BBD:</w:t>
            </w:r>
            <w:r>
              <w:rPr>
                <w:rFonts w:hint="default"/>
                <w:b/>
                <w:bCs/>
                <w:color w:val="00B050"/>
                <w:sz w:val="24"/>
                <w:szCs w:val="24"/>
              </w:rPr>
              <w:t>-260</w:t>
            </w:r>
            <w:r>
              <w:rPr>
                <w:rFonts w:hint="default"/>
                <w:b/>
                <w:bCs/>
                <w:sz w:val="24"/>
                <w:szCs w:val="24"/>
              </w:rPr>
              <w:t>万</w:t>
            </w:r>
          </w:p>
          <w:p>
            <w:pPr>
              <w:jc w:val="center"/>
              <w:rPr>
                <w:rFonts w:hint="default"/>
                <w:b/>
                <w:bCs/>
                <w:sz w:val="24"/>
                <w:szCs w:val="24"/>
                <w:lang w:val="en-US" w:eastAsia="zh-CN"/>
              </w:rPr>
            </w:pPr>
            <w:r>
              <w:rPr>
                <w:b/>
                <w:bCs/>
                <w:sz w:val="24"/>
                <w:szCs w:val="24"/>
              </w:rPr>
              <w:t>换手率:0.43%</w:t>
            </w:r>
          </w:p>
        </w:tc>
        <w:tc>
          <w:tcPr>
            <w:tcW w:w="3872" w:type="dxa"/>
            <w:shd w:val="clear" w:color="auto" w:fill="F1F1F1" w:themeFill="background1" w:themeFillShade="F2"/>
            <w:vAlign w:val="center"/>
          </w:tcPr>
          <w:p>
            <w:p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2020年8月28日公告披露：公司与氢阳新能源和中国五环工程拟签署《宁波氢能创新中心有限公司发起人协议书》，氢能创新中心注册资本为 5,000万元，公司拟出资 500万元，持有其 10%股权。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"http://www.dingniugu.com/dde/600758.html"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辽宁能源</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600758</w:t>
            </w:r>
          </w:p>
        </w:tc>
        <w:tc>
          <w:tcPr>
            <w:tcW w:w="778" w:type="dxa"/>
            <w:vAlign w:val="center"/>
          </w:tcPr>
          <w:p>
            <w:pPr>
              <w:jc w:val="center"/>
              <w:rPr>
                <w:rFonts w:hint="default"/>
                <w:b/>
                <w:bCs/>
                <w:color w:val="00B050"/>
                <w:sz w:val="21"/>
                <w:szCs w:val="21"/>
                <w:lang w:val="en-US" w:eastAsia="zh-CN"/>
              </w:rPr>
            </w:pPr>
            <w:r>
              <w:rPr>
                <w:b/>
                <w:bCs/>
                <w:color w:val="00B050"/>
                <w:sz w:val="21"/>
                <w:szCs w:val="21"/>
              </w:rPr>
              <w:t>2.82</w:t>
            </w:r>
          </w:p>
        </w:tc>
        <w:tc>
          <w:tcPr>
            <w:tcW w:w="1554" w:type="dxa"/>
            <w:vAlign w:val="center"/>
          </w:tcPr>
          <w:p>
            <w:pPr>
              <w:jc w:val="center"/>
              <w:rPr>
                <w:b/>
                <w:bCs/>
                <w:color w:val="00B050"/>
                <w:sz w:val="18"/>
                <w:szCs w:val="18"/>
              </w:rPr>
            </w:pP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0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01</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-0.3</w:t>
            </w:r>
            <w:r>
              <w:rPr>
                <w:rFonts w:hint="eastAsia"/>
                <w:b/>
                <w:bCs/>
                <w:color w:val="00B050"/>
                <w:sz w:val="18"/>
                <w:szCs w:val="18"/>
                <w:lang w:val="en-US" w:eastAsia="zh-CN"/>
              </w:rPr>
              <w:t>5</w:t>
            </w:r>
            <w:r>
              <w:rPr>
                <w:rFonts w:hint="eastAsia"/>
                <w:b/>
                <w:bCs/>
                <w:color w:val="00B050"/>
                <w:sz w:val="18"/>
                <w:szCs w:val="18"/>
              </w:rPr>
              <w:t>%</w:t>
            </w:r>
          </w:p>
        </w:tc>
        <w:tc>
          <w:tcPr>
            <w:tcW w:w="1810" w:type="dxa"/>
            <w:vAlign w:val="center"/>
          </w:tcPr>
          <w:p>
            <w:pPr>
              <w:jc w:val="center"/>
              <w:rPr>
                <w:rFonts w:hint="default"/>
                <w:b/>
                <w:bCs/>
                <w:sz w:val="24"/>
                <w:szCs w:val="24"/>
              </w:rPr>
            </w:pPr>
            <w:r>
              <w:rPr>
                <w:b/>
                <w:bCs/>
                <w:sz w:val="24"/>
                <w:szCs w:val="24"/>
              </w:rPr>
              <w:t>BBD:</w:t>
            </w:r>
            <w:r>
              <w:rPr>
                <w:rFonts w:hint="default"/>
                <w:b/>
                <w:bCs/>
                <w:color w:val="00B050"/>
                <w:sz w:val="24"/>
                <w:szCs w:val="24"/>
              </w:rPr>
              <w:t>-211</w:t>
            </w:r>
            <w:r>
              <w:rPr>
                <w:rFonts w:hint="default"/>
                <w:b/>
                <w:bCs/>
                <w:sz w:val="24"/>
                <w:szCs w:val="24"/>
              </w:rPr>
              <w:t>万</w:t>
            </w:r>
          </w:p>
          <w:p>
            <w:pPr>
              <w:jc w:val="center"/>
              <w:rPr>
                <w:rFonts w:hint="default"/>
                <w:b/>
                <w:bCs/>
                <w:sz w:val="24"/>
                <w:szCs w:val="24"/>
                <w:lang w:val="en-US" w:eastAsia="zh-CN"/>
              </w:rPr>
            </w:pPr>
            <w:r>
              <w:rPr>
                <w:b/>
                <w:bCs/>
                <w:sz w:val="24"/>
                <w:szCs w:val="24"/>
              </w:rPr>
              <w:t>换手率:0.41%</w:t>
            </w:r>
          </w:p>
        </w:tc>
        <w:tc>
          <w:tcPr>
            <w:tcW w:w="387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子公司辽宁红阳资本投资有限公司参股深圳国氢新能源科技有限公司，经营范围包括氢燃料电池及其各零部件和相关检测系统的咨询、研发和销售；燃料电池动力系统咨询、研发和销售</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shd w:val="clear" w:color="auto" w:fill="F1F1F1" w:themeFill="background1" w:themeFillShade="F2"/>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"http://www.dingniugu.com/dde/601016.html"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节能风电</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601016</w:t>
            </w:r>
          </w:p>
        </w:tc>
        <w:tc>
          <w:tcPr>
            <w:tcW w:w="778" w:type="dxa"/>
            <w:shd w:val="clear" w:color="auto" w:fill="F1F1F1" w:themeFill="background1" w:themeFillShade="F2"/>
            <w:vAlign w:val="center"/>
          </w:tcPr>
          <w:p>
            <w:pPr>
              <w:jc w:val="center"/>
              <w:rPr>
                <w:rFonts w:hint="default"/>
                <w:b/>
                <w:bCs/>
                <w:color w:val="00B050"/>
                <w:sz w:val="21"/>
                <w:szCs w:val="21"/>
                <w:lang w:val="en-US" w:eastAsia="zh-CN"/>
              </w:rPr>
            </w:pPr>
            <w:r>
              <w:rPr>
                <w:b/>
                <w:bCs/>
                <w:color w:val="00B050"/>
                <w:sz w:val="21"/>
                <w:szCs w:val="21"/>
              </w:rPr>
              <w:t>2.75</w:t>
            </w:r>
          </w:p>
        </w:tc>
        <w:tc>
          <w:tcPr>
            <w:tcW w:w="1554" w:type="dxa"/>
            <w:shd w:val="clear" w:color="auto" w:fill="F1F1F1" w:themeFill="background1" w:themeFillShade="F2"/>
            <w:vAlign w:val="center"/>
          </w:tcPr>
          <w:p>
            <w:pPr>
              <w:jc w:val="center"/>
              <w:rPr>
                <w:rFonts w:hint="eastAsia"/>
                <w:b/>
                <w:bCs/>
                <w:color w:val="00B050"/>
                <w:sz w:val="18"/>
                <w:szCs w:val="18"/>
                <w:lang w:val="en-US" w:eastAsia="zh-CN"/>
              </w:rPr>
            </w:pP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0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01</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-0.3</w:t>
            </w:r>
            <w:r>
              <w:rPr>
                <w:rFonts w:hint="eastAsia"/>
                <w:b/>
                <w:bCs/>
                <w:color w:val="00B050"/>
                <w:sz w:val="18"/>
                <w:szCs w:val="18"/>
                <w:lang w:val="en-US" w:eastAsia="zh-CN"/>
              </w:rPr>
              <w:t>6</w:t>
            </w:r>
            <w:r>
              <w:rPr>
                <w:rFonts w:hint="eastAsia"/>
                <w:b/>
                <w:bCs/>
                <w:color w:val="00B050"/>
                <w:sz w:val="18"/>
                <w:szCs w:val="18"/>
              </w:rPr>
              <w:t>%</w:t>
            </w:r>
          </w:p>
        </w:tc>
        <w:tc>
          <w:tcPr>
            <w:tcW w:w="1810" w:type="dxa"/>
            <w:shd w:val="clear" w:color="auto" w:fill="F1F1F1" w:themeFill="background1" w:themeFillShade="F2"/>
            <w:vAlign w:val="center"/>
          </w:tcPr>
          <w:p>
            <w:pPr>
              <w:jc w:val="center"/>
              <w:rPr>
                <w:rFonts w:hint="default"/>
                <w:b/>
                <w:bCs/>
                <w:sz w:val="24"/>
                <w:szCs w:val="24"/>
              </w:rPr>
            </w:pPr>
            <w:r>
              <w:rPr>
                <w:b/>
                <w:bCs/>
                <w:sz w:val="24"/>
                <w:szCs w:val="24"/>
              </w:rPr>
              <w:t>BBD</w:t>
            </w:r>
            <w:r>
              <w:rPr>
                <w:b/>
                <w:bCs/>
                <w:color w:val="00B050"/>
                <w:sz w:val="24"/>
                <w:szCs w:val="24"/>
              </w:rPr>
              <w:t>:</w:t>
            </w:r>
            <w:r>
              <w:rPr>
                <w:rFonts w:hint="default"/>
                <w:b/>
                <w:bCs/>
                <w:color w:val="00B050"/>
                <w:sz w:val="24"/>
                <w:szCs w:val="24"/>
              </w:rPr>
              <w:t>-684</w:t>
            </w:r>
            <w:r>
              <w:rPr>
                <w:rFonts w:hint="default"/>
                <w:b/>
                <w:bCs/>
                <w:sz w:val="24"/>
                <w:szCs w:val="24"/>
              </w:rPr>
              <w:t>万</w:t>
            </w:r>
          </w:p>
          <w:p>
            <w:pPr>
              <w:jc w:val="center"/>
              <w:rPr>
                <w:rFonts w:hint="default"/>
                <w:b/>
                <w:bCs/>
                <w:sz w:val="24"/>
                <w:szCs w:val="24"/>
                <w:lang w:val="en-US" w:eastAsia="zh-CN"/>
              </w:rPr>
            </w:pPr>
            <w:r>
              <w:rPr>
                <w:b/>
                <w:bCs/>
                <w:sz w:val="24"/>
                <w:szCs w:val="24"/>
              </w:rPr>
              <w:t>换手率:0.49%</w:t>
            </w:r>
          </w:p>
        </w:tc>
        <w:tc>
          <w:tcPr>
            <w:tcW w:w="3872" w:type="dxa"/>
            <w:shd w:val="clear" w:color="auto" w:fill="F1F1F1" w:themeFill="background1" w:themeFillShade="F2"/>
            <w:vAlign w:val="center"/>
          </w:tcPr>
          <w:p>
            <w:p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公司风电制氢863计划课题研究工作已经完成，课题已经通过国家科技部验收，但风电制氢产业化仍然需要面对：成本高、运输难、产地与需求市场不匹配、市场对氢气的消纳能力有待提高、投资回报期较长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"http://www.dingniugu.com/dde/600691.html"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阳煤化工</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600691</w:t>
            </w:r>
          </w:p>
        </w:tc>
        <w:tc>
          <w:tcPr>
            <w:tcW w:w="778" w:type="dxa"/>
            <w:vAlign w:val="center"/>
          </w:tcPr>
          <w:p>
            <w:pPr>
              <w:jc w:val="center"/>
              <w:rPr>
                <w:rFonts w:hint="default"/>
                <w:b/>
                <w:bCs/>
                <w:color w:val="00B050"/>
                <w:sz w:val="21"/>
                <w:szCs w:val="21"/>
                <w:lang w:val="en-US" w:eastAsia="zh-CN"/>
              </w:rPr>
            </w:pPr>
            <w:r>
              <w:rPr>
                <w:b/>
                <w:bCs/>
                <w:color w:val="00B050"/>
                <w:sz w:val="21"/>
                <w:szCs w:val="21"/>
              </w:rPr>
              <w:t>2.24</w:t>
            </w:r>
          </w:p>
        </w:tc>
        <w:tc>
          <w:tcPr>
            <w:tcW w:w="1554" w:type="dxa"/>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01</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44</w:t>
            </w:r>
            <w:r>
              <w:rPr>
                <w:rFonts w:hint="eastAsia"/>
                <w:b/>
                <w:bCs/>
                <w:color w:val="00B050"/>
                <w:sz w:val="18"/>
                <w:szCs w:val="18"/>
              </w:rPr>
              <w:t>%</w:t>
            </w:r>
          </w:p>
        </w:tc>
        <w:tc>
          <w:tcPr>
            <w:tcW w:w="1810" w:type="dxa"/>
            <w:vAlign w:val="center"/>
          </w:tcPr>
          <w:p>
            <w:pPr>
              <w:jc w:val="center"/>
              <w:rPr>
                <w:rFonts w:hint="default"/>
                <w:b/>
                <w:bCs/>
                <w:sz w:val="24"/>
                <w:szCs w:val="24"/>
              </w:rPr>
            </w:pPr>
            <w:r>
              <w:rPr>
                <w:b/>
                <w:bCs/>
                <w:sz w:val="24"/>
                <w:szCs w:val="24"/>
              </w:rPr>
              <w:t>BBD:</w:t>
            </w:r>
            <w:r>
              <w:rPr>
                <w:rFonts w:hint="default"/>
                <w:b/>
                <w:bCs/>
                <w:color w:val="00B050"/>
                <w:sz w:val="24"/>
                <w:szCs w:val="24"/>
              </w:rPr>
              <w:t>-212</w:t>
            </w:r>
            <w:r>
              <w:rPr>
                <w:rFonts w:hint="default"/>
                <w:b/>
                <w:bCs/>
                <w:sz w:val="24"/>
                <w:szCs w:val="24"/>
              </w:rPr>
              <w:t>万</w:t>
            </w:r>
          </w:p>
          <w:p>
            <w:pPr>
              <w:jc w:val="center"/>
              <w:rPr>
                <w:rFonts w:hint="default"/>
                <w:b/>
                <w:bCs/>
                <w:sz w:val="24"/>
                <w:szCs w:val="24"/>
                <w:lang w:val="en-US" w:eastAsia="zh-CN"/>
              </w:rPr>
            </w:pPr>
            <w:r>
              <w:rPr>
                <w:b/>
                <w:bCs/>
                <w:sz w:val="24"/>
                <w:szCs w:val="24"/>
              </w:rPr>
              <w:t>换手率:1.17%</w:t>
            </w:r>
          </w:p>
        </w:tc>
        <w:tc>
          <w:tcPr>
            <w:tcW w:w="387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18年年报称，公司在建工程包括沧州正元鑫海化工供氢气工程、沧州正元鑫海化工供氢气工程等。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shd w:val="clear" w:color="auto" w:fill="F1F1F1" w:themeFill="background1" w:themeFillShade="F2"/>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"http://www.dingniugu.com/dde/002783.html"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凯龙股份</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002783</w:t>
            </w:r>
          </w:p>
        </w:tc>
        <w:tc>
          <w:tcPr>
            <w:tcW w:w="778" w:type="dxa"/>
            <w:shd w:val="clear" w:color="auto" w:fill="F1F1F1" w:themeFill="background1" w:themeFillShade="F2"/>
            <w:vAlign w:val="center"/>
          </w:tcPr>
          <w:p>
            <w:pPr>
              <w:jc w:val="center"/>
              <w:rPr>
                <w:rFonts w:hint="default"/>
                <w:b/>
                <w:bCs/>
                <w:color w:val="00B050"/>
                <w:sz w:val="21"/>
                <w:szCs w:val="21"/>
                <w:lang w:val="en-US" w:eastAsia="zh-CN"/>
              </w:rPr>
            </w:pPr>
            <w:r>
              <w:rPr>
                <w:b/>
                <w:bCs/>
                <w:color w:val="00B050"/>
                <w:sz w:val="21"/>
                <w:szCs w:val="21"/>
              </w:rPr>
              <w:t>12.78</w:t>
            </w:r>
          </w:p>
        </w:tc>
        <w:tc>
          <w:tcPr>
            <w:tcW w:w="1554" w:type="dxa"/>
            <w:shd w:val="clear" w:color="auto" w:fill="F1F1F1" w:themeFill="background1" w:themeFillShade="F2"/>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0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06</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47</w:t>
            </w:r>
            <w:r>
              <w:rPr>
                <w:rFonts w:hint="eastAsia"/>
                <w:b/>
                <w:bCs/>
                <w:color w:val="00B050"/>
                <w:sz w:val="18"/>
                <w:szCs w:val="18"/>
              </w:rPr>
              <w:t>%</w:t>
            </w:r>
          </w:p>
        </w:tc>
        <w:tc>
          <w:tcPr>
            <w:tcW w:w="1810" w:type="dxa"/>
            <w:shd w:val="clear" w:color="auto" w:fill="F1F1F1" w:themeFill="background1" w:themeFillShade="F2"/>
            <w:vAlign w:val="center"/>
          </w:tcPr>
          <w:p>
            <w:pPr>
              <w:jc w:val="center"/>
              <w:rPr>
                <w:rFonts w:hint="default"/>
                <w:b/>
                <w:bCs/>
                <w:sz w:val="24"/>
                <w:szCs w:val="24"/>
              </w:rPr>
            </w:pPr>
            <w:r>
              <w:rPr>
                <w:b/>
                <w:bCs/>
                <w:sz w:val="24"/>
                <w:szCs w:val="24"/>
              </w:rPr>
              <w:t>BBD:</w:t>
            </w:r>
            <w:r>
              <w:rPr>
                <w:rFonts w:hint="default"/>
                <w:b/>
                <w:bCs/>
                <w:color w:val="FF0000"/>
                <w:sz w:val="24"/>
                <w:szCs w:val="24"/>
              </w:rPr>
              <w:t>201</w:t>
            </w:r>
            <w:r>
              <w:rPr>
                <w:rFonts w:hint="default"/>
                <w:b/>
                <w:bCs/>
                <w:sz w:val="24"/>
                <w:szCs w:val="24"/>
              </w:rPr>
              <w:t>万</w:t>
            </w:r>
          </w:p>
          <w:p>
            <w:pPr>
              <w:jc w:val="center"/>
              <w:rPr>
                <w:rFonts w:hint="default"/>
                <w:b/>
                <w:bCs/>
                <w:sz w:val="24"/>
                <w:szCs w:val="24"/>
                <w:lang w:val="en-US" w:eastAsia="zh-CN"/>
              </w:rPr>
            </w:pPr>
            <w:r>
              <w:rPr>
                <w:b/>
                <w:bCs/>
                <w:sz w:val="24"/>
                <w:szCs w:val="24"/>
              </w:rPr>
              <w:t>换手率:</w:t>
            </w:r>
            <w:r>
              <w:rPr>
                <w:rFonts w:hint="eastAsia"/>
                <w:b/>
                <w:bCs/>
                <w:sz w:val="24"/>
                <w:szCs w:val="24"/>
                <w:lang w:val="en-US" w:eastAsia="zh-CN"/>
              </w:rPr>
              <w:t>2.71</w:t>
            </w:r>
            <w:r>
              <w:rPr>
                <w:b/>
                <w:bCs/>
                <w:sz w:val="24"/>
                <w:szCs w:val="24"/>
              </w:rPr>
              <w:t>%</w:t>
            </w:r>
          </w:p>
        </w:tc>
        <w:tc>
          <w:tcPr>
            <w:tcW w:w="3872" w:type="dxa"/>
            <w:shd w:val="clear" w:color="auto" w:fill="F1F1F1" w:themeFill="background1" w:themeFillShade="F2"/>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深圳市君丰华盛投资合伙企业，公司作为有限合伙人认缴出资21000万元。该基金将逐步投入到适当的氢能源项目中去，目前已在氢能源核心环节，包含氢能源的制备，储运，发动机和应用领域的全方位布局。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"http://www.dingniugu.com/dde/001896.html"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豫能控股</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001896</w:t>
            </w:r>
          </w:p>
        </w:tc>
        <w:tc>
          <w:tcPr>
            <w:tcW w:w="778" w:type="dxa"/>
            <w:vAlign w:val="center"/>
          </w:tcPr>
          <w:p>
            <w:pPr>
              <w:jc w:val="center"/>
              <w:rPr>
                <w:rFonts w:hint="default"/>
                <w:b/>
                <w:bCs/>
                <w:color w:val="00B050"/>
                <w:sz w:val="21"/>
                <w:szCs w:val="21"/>
                <w:lang w:val="en-US" w:eastAsia="zh-CN"/>
              </w:rPr>
            </w:pPr>
            <w:r>
              <w:rPr>
                <w:b/>
                <w:bCs/>
                <w:color w:val="00B050"/>
                <w:sz w:val="21"/>
                <w:szCs w:val="21"/>
              </w:rPr>
              <w:t>3.79</w:t>
            </w:r>
          </w:p>
        </w:tc>
        <w:tc>
          <w:tcPr>
            <w:tcW w:w="1554" w:type="dxa"/>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02</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52</w:t>
            </w:r>
            <w:r>
              <w:rPr>
                <w:rFonts w:hint="eastAsia"/>
                <w:b/>
                <w:bCs/>
                <w:color w:val="00B050"/>
                <w:sz w:val="18"/>
                <w:szCs w:val="18"/>
              </w:rPr>
              <w:t>%</w:t>
            </w:r>
          </w:p>
        </w:tc>
        <w:tc>
          <w:tcPr>
            <w:tcW w:w="1810" w:type="dxa"/>
            <w:vAlign w:val="center"/>
          </w:tcPr>
          <w:p>
            <w:pPr>
              <w:jc w:val="center"/>
              <w:rPr>
                <w:rFonts w:hint="default"/>
                <w:b/>
                <w:bCs/>
                <w:sz w:val="24"/>
                <w:szCs w:val="24"/>
              </w:rPr>
            </w:pPr>
            <w:r>
              <w:rPr>
                <w:b/>
                <w:bCs/>
                <w:sz w:val="24"/>
                <w:szCs w:val="24"/>
              </w:rPr>
              <w:t>BBD</w:t>
            </w:r>
            <w:r>
              <w:rPr>
                <w:b/>
                <w:bCs/>
                <w:color w:val="00B050"/>
                <w:sz w:val="24"/>
                <w:szCs w:val="24"/>
              </w:rPr>
              <w:t>:</w:t>
            </w:r>
            <w:r>
              <w:rPr>
                <w:rFonts w:hint="default"/>
                <w:b/>
                <w:bCs/>
                <w:color w:val="00B050"/>
                <w:sz w:val="24"/>
                <w:szCs w:val="24"/>
              </w:rPr>
              <w:t>-70</w:t>
            </w:r>
            <w:r>
              <w:rPr>
                <w:rFonts w:hint="default"/>
                <w:b/>
                <w:bCs/>
                <w:sz w:val="24"/>
                <w:szCs w:val="24"/>
              </w:rPr>
              <w:t>万</w:t>
            </w:r>
          </w:p>
          <w:p>
            <w:pPr>
              <w:jc w:val="center"/>
              <w:rPr>
                <w:rFonts w:hint="default"/>
                <w:b/>
                <w:bCs/>
                <w:sz w:val="24"/>
                <w:szCs w:val="24"/>
                <w:lang w:val="en-US" w:eastAsia="zh-CN"/>
              </w:rPr>
            </w:pPr>
            <w:r>
              <w:rPr>
                <w:b/>
                <w:bCs/>
                <w:sz w:val="24"/>
                <w:szCs w:val="24"/>
              </w:rPr>
              <w:t>换手率:0.64%</w:t>
            </w:r>
          </w:p>
        </w:tc>
        <w:tc>
          <w:tcPr>
            <w:tcW w:w="387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公司发行股份购买的鹤壁同力拥有两处制氢站，同时公司有正在办理产权证书的固定资产中益公司制氢站账面价值1,073,647.23元。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shd w:val="clear" w:color="auto" w:fill="F1F1F1" w:themeFill="background1" w:themeFillShade="F2"/>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"http://www.dingniugu.com/dde/002012.html"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凯恩股份</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002012</w:t>
            </w:r>
          </w:p>
        </w:tc>
        <w:tc>
          <w:tcPr>
            <w:tcW w:w="778" w:type="dxa"/>
            <w:shd w:val="clear" w:color="auto" w:fill="F1F1F1" w:themeFill="background1" w:themeFillShade="F2"/>
            <w:vAlign w:val="center"/>
          </w:tcPr>
          <w:p>
            <w:pPr>
              <w:jc w:val="center"/>
              <w:rPr>
                <w:rFonts w:hint="default"/>
                <w:b/>
                <w:bCs/>
                <w:color w:val="00B050"/>
                <w:sz w:val="21"/>
                <w:szCs w:val="21"/>
                <w:lang w:val="en-US" w:eastAsia="zh-CN"/>
              </w:rPr>
            </w:pPr>
            <w:r>
              <w:rPr>
                <w:b/>
                <w:bCs/>
                <w:color w:val="00B050"/>
                <w:sz w:val="21"/>
                <w:szCs w:val="21"/>
              </w:rPr>
              <w:t>5.71</w:t>
            </w:r>
          </w:p>
        </w:tc>
        <w:tc>
          <w:tcPr>
            <w:tcW w:w="1554" w:type="dxa"/>
            <w:shd w:val="clear" w:color="auto" w:fill="F1F1F1" w:themeFill="background1" w:themeFillShade="F2"/>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03</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52</w:t>
            </w:r>
            <w:r>
              <w:rPr>
                <w:rFonts w:hint="eastAsia"/>
                <w:b/>
                <w:bCs/>
                <w:color w:val="00B050"/>
                <w:sz w:val="18"/>
                <w:szCs w:val="18"/>
              </w:rPr>
              <w:t>%</w:t>
            </w:r>
          </w:p>
        </w:tc>
        <w:tc>
          <w:tcPr>
            <w:tcW w:w="1810" w:type="dxa"/>
            <w:shd w:val="clear" w:color="auto" w:fill="F1F1F1" w:themeFill="background1" w:themeFillShade="F2"/>
            <w:vAlign w:val="center"/>
          </w:tcPr>
          <w:p>
            <w:pPr>
              <w:jc w:val="center"/>
              <w:rPr>
                <w:rFonts w:hint="default"/>
                <w:b/>
                <w:bCs/>
                <w:sz w:val="24"/>
                <w:szCs w:val="24"/>
              </w:rPr>
            </w:pPr>
            <w:r>
              <w:rPr>
                <w:b/>
                <w:bCs/>
                <w:sz w:val="24"/>
                <w:szCs w:val="24"/>
              </w:rPr>
              <w:t>BBD:</w:t>
            </w:r>
            <w:r>
              <w:rPr>
                <w:rFonts w:hint="default"/>
                <w:b/>
                <w:bCs/>
                <w:color w:val="00B050"/>
                <w:sz w:val="24"/>
                <w:szCs w:val="24"/>
              </w:rPr>
              <w:t>-557</w:t>
            </w:r>
            <w:r>
              <w:rPr>
                <w:rFonts w:hint="default"/>
                <w:b/>
                <w:bCs/>
                <w:sz w:val="24"/>
                <w:szCs w:val="24"/>
              </w:rPr>
              <w:t>万</w:t>
            </w:r>
          </w:p>
          <w:p>
            <w:pPr>
              <w:jc w:val="center"/>
              <w:rPr>
                <w:rFonts w:hint="default"/>
                <w:b/>
                <w:bCs/>
                <w:sz w:val="24"/>
                <w:szCs w:val="24"/>
                <w:lang w:val="en-US" w:eastAsia="zh-CN"/>
              </w:rPr>
            </w:pPr>
            <w:r>
              <w:rPr>
                <w:b/>
                <w:bCs/>
                <w:sz w:val="24"/>
                <w:szCs w:val="24"/>
              </w:rPr>
              <w:t>换手率:1.50%</w:t>
            </w:r>
          </w:p>
        </w:tc>
        <w:tc>
          <w:tcPr>
            <w:tcW w:w="3872" w:type="dxa"/>
            <w:shd w:val="clear" w:color="auto" w:fill="F1F1F1" w:themeFill="background1" w:themeFillShade="F2"/>
            <w:vAlign w:val="center"/>
          </w:tcPr>
          <w:p>
            <w:pPr>
              <w:numPr>
                <w:ilvl w:val="0"/>
                <w:numId w:val="0"/>
              </w:num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2017 年 6 月，公司与中洋新能科技、洲际新能科技等共同投资设立世能氢电科 技有限公司。世能氢电是一家氢燃料电池研发商，主要从事制氢、储运、加氢站、 电堆及电控系统生产制造、动力总成</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vAlign w:val="center"/>
          </w:tcPr>
          <w:p>
            <w:pPr>
              <w:jc w:val="center"/>
              <w:rPr>
                <w:rFonts w:hint="default"/>
                <w:b/>
                <w:bCs/>
                <w:sz w:val="28"/>
                <w:szCs w:val="28"/>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"http://www.dingniugu.com/dde/603637.html"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镇海股份</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603637</w:t>
            </w:r>
          </w:p>
        </w:tc>
        <w:tc>
          <w:tcPr>
            <w:tcW w:w="778" w:type="dxa"/>
            <w:vAlign w:val="center"/>
          </w:tcPr>
          <w:p>
            <w:pPr>
              <w:jc w:val="center"/>
              <w:rPr>
                <w:rFonts w:hint="default"/>
                <w:b/>
                <w:bCs/>
                <w:color w:val="00B050"/>
                <w:sz w:val="21"/>
                <w:szCs w:val="21"/>
                <w:lang w:val="en-US" w:eastAsia="zh-CN"/>
              </w:rPr>
            </w:pPr>
            <w:r>
              <w:rPr>
                <w:b/>
                <w:bCs/>
                <w:color w:val="00B050"/>
                <w:sz w:val="21"/>
                <w:szCs w:val="21"/>
              </w:rPr>
              <w:t>8.62</w:t>
            </w:r>
          </w:p>
        </w:tc>
        <w:tc>
          <w:tcPr>
            <w:tcW w:w="1554" w:type="dxa"/>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05</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58</w:t>
            </w:r>
            <w:r>
              <w:rPr>
                <w:rFonts w:hint="eastAsia"/>
                <w:b/>
                <w:bCs/>
                <w:color w:val="00B050"/>
                <w:sz w:val="18"/>
                <w:szCs w:val="18"/>
              </w:rPr>
              <w:t>%</w:t>
            </w:r>
          </w:p>
        </w:tc>
        <w:tc>
          <w:tcPr>
            <w:tcW w:w="1810" w:type="dxa"/>
            <w:vAlign w:val="center"/>
          </w:tcPr>
          <w:p>
            <w:pPr>
              <w:jc w:val="center"/>
              <w:rPr>
                <w:rFonts w:hint="default"/>
                <w:b/>
                <w:bCs/>
                <w:sz w:val="24"/>
                <w:szCs w:val="24"/>
              </w:rPr>
            </w:pPr>
            <w:r>
              <w:rPr>
                <w:b/>
                <w:bCs/>
                <w:sz w:val="24"/>
                <w:szCs w:val="24"/>
              </w:rPr>
              <w:t>BBD:</w:t>
            </w:r>
            <w:r>
              <w:rPr>
                <w:rFonts w:hint="default"/>
                <w:b/>
                <w:bCs/>
                <w:color w:val="00B050"/>
                <w:sz w:val="24"/>
                <w:szCs w:val="24"/>
              </w:rPr>
              <w:t>-18</w:t>
            </w:r>
            <w:r>
              <w:rPr>
                <w:rFonts w:hint="default"/>
                <w:b/>
                <w:bCs/>
                <w:sz w:val="24"/>
                <w:szCs w:val="24"/>
              </w:rPr>
              <w:t>万</w:t>
            </w:r>
          </w:p>
          <w:p>
            <w:pPr>
              <w:jc w:val="center"/>
              <w:rPr>
                <w:rFonts w:hint="default"/>
                <w:b/>
                <w:bCs/>
                <w:sz w:val="24"/>
                <w:szCs w:val="24"/>
                <w:lang w:val="en-US" w:eastAsia="zh-CN"/>
              </w:rPr>
            </w:pPr>
            <w:r>
              <w:rPr>
                <w:b/>
                <w:bCs/>
                <w:sz w:val="24"/>
                <w:szCs w:val="24"/>
              </w:rPr>
              <w:t>换手率:0.19%</w:t>
            </w:r>
          </w:p>
        </w:tc>
        <w:tc>
          <w:tcPr>
            <w:tcW w:w="387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2019年4月19日镇海股份在互动平台上表示，公司已掌握了生产国IV、国V、国Ⅵ标准汽油加氢装置、柴油加氢装置、全馏分催化汽油选择性加氢脱硫生产高等级车用汽油装置</w:t>
            </w:r>
            <w:r>
              <w:rPr>
                <w:rFonts w:hint="eastAsia" w:ascii="黑体" w:hAnsi="黑体" w:eastAsia="黑体" w:cs="黑体"/>
                <w:b w:val="0"/>
                <w:bCs w:val="0"/>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shd w:val="clear" w:color="auto" w:fill="F1F1F1" w:themeFill="background1" w:themeFillShade="F2"/>
            <w:vAlign w:val="center"/>
          </w:tcPr>
          <w:p>
            <w:p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"http://www.dingniugu.com/dde/000698.html"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沈阳化工</w:t>
            </w:r>
            <w:r>
              <w:rPr>
                <w:rFonts w:hint="default"/>
                <w:b/>
                <w:bCs/>
                <w:sz w:val="28"/>
                <w:szCs w:val="28"/>
                <w:lang w:val="en-US" w:eastAsia="zh-CN"/>
              </w:rPr>
              <w:fldChar w:fldCharType="end"/>
            </w:r>
          </w:p>
          <w:p>
            <w:pPr>
              <w:jc w:val="center"/>
              <w:rPr>
                <w:rFonts w:hint="default"/>
                <w:b/>
                <w:bCs/>
                <w:sz w:val="28"/>
                <w:szCs w:val="28"/>
                <w:lang w:val="en-US" w:eastAsia="zh-CN"/>
              </w:rPr>
            </w:pPr>
            <w:r>
              <w:rPr>
                <w:b/>
                <w:bCs/>
                <w:sz w:val="28"/>
                <w:szCs w:val="28"/>
              </w:rPr>
              <w:t>000698</w:t>
            </w:r>
          </w:p>
        </w:tc>
        <w:tc>
          <w:tcPr>
            <w:tcW w:w="778" w:type="dxa"/>
            <w:shd w:val="clear" w:color="auto" w:fill="F1F1F1" w:themeFill="background1" w:themeFillShade="F2"/>
            <w:vAlign w:val="center"/>
          </w:tcPr>
          <w:p>
            <w:pPr>
              <w:jc w:val="center"/>
              <w:rPr>
                <w:rFonts w:hint="default"/>
                <w:b/>
                <w:bCs/>
                <w:sz w:val="21"/>
                <w:szCs w:val="21"/>
                <w:lang w:val="en-US" w:eastAsia="zh-CN"/>
              </w:rPr>
            </w:pPr>
            <w:r>
              <w:rPr>
                <w:b/>
                <w:bCs/>
                <w:sz w:val="21"/>
                <w:szCs w:val="21"/>
              </w:rPr>
              <w:t>4.94</w:t>
            </w:r>
          </w:p>
        </w:tc>
        <w:tc>
          <w:tcPr>
            <w:tcW w:w="1554" w:type="dxa"/>
            <w:shd w:val="clear" w:color="auto" w:fill="F1F1F1" w:themeFill="background1" w:themeFillShade="F2"/>
            <w:vAlign w:val="center"/>
          </w:tcPr>
          <w:p>
            <w:pPr>
              <w:jc w:val="center"/>
              <w:rPr>
                <w:rFonts w:hint="eastAsia"/>
                <w:b/>
                <w:bCs/>
                <w:sz w:val="18"/>
                <w:szCs w:val="18"/>
                <w:lang w:val="en-US" w:eastAsia="zh-CN"/>
              </w:rPr>
            </w:pPr>
            <w:r>
              <w:rPr>
                <w:rFonts w:hint="eastAsia"/>
                <w:b/>
                <w:bCs/>
                <w:sz w:val="18"/>
                <w:szCs w:val="18"/>
                <w:lang w:val="en-US" w:eastAsia="zh-CN"/>
              </w:rPr>
              <w:t xml:space="preserve">    </w:t>
            </w:r>
          </w:p>
          <w:p>
            <w:pPr>
              <w:jc w:val="center"/>
              <w:rPr>
                <w:rFonts w:hint="default"/>
                <w:b/>
                <w:bCs/>
                <w:sz w:val="18"/>
                <w:szCs w:val="18"/>
                <w:lang w:val="en-US" w:eastAsia="zh-CN"/>
              </w:rPr>
            </w:pPr>
            <w:r>
              <w:rPr>
                <w:b/>
                <w:bCs/>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sz w:val="18"/>
                <w:szCs w:val="18"/>
                <w:lang w:val="en-US" w:eastAsia="zh-CN"/>
              </w:rPr>
              <w:t xml:space="preserve">   -</w:t>
            </w:r>
            <w:r>
              <w:rPr>
                <w:b/>
                <w:bCs/>
                <w:sz w:val="18"/>
                <w:szCs w:val="18"/>
              </w:rPr>
              <w:t>0.</w:t>
            </w:r>
            <w:r>
              <w:rPr>
                <w:rFonts w:hint="eastAsia"/>
                <w:b/>
                <w:bCs/>
                <w:sz w:val="18"/>
                <w:szCs w:val="18"/>
                <w:lang w:val="en-US" w:eastAsia="zh-CN"/>
              </w:rPr>
              <w:t>03</w:t>
            </w:r>
          </w:p>
          <w:p>
            <w:pPr>
              <w:jc w:val="center"/>
              <w:rPr>
                <w:rFonts w:hint="default"/>
                <w:b/>
                <w:bCs/>
                <w:sz w:val="18"/>
                <w:szCs w:val="18"/>
                <w:lang w:val="en-US" w:eastAsia="zh-CN"/>
              </w:rPr>
            </w:pPr>
            <w:r>
              <w:rPr>
                <w:rFonts w:hint="eastAsia"/>
                <w:b/>
                <w:bCs/>
                <w:sz w:val="18"/>
                <w:szCs w:val="18"/>
                <w:lang w:val="en-US" w:eastAsia="zh-CN"/>
              </w:rPr>
              <w:t xml:space="preserve">   </w:t>
            </w:r>
            <w:r>
              <w:rPr>
                <w:rFonts w:hint="eastAsia"/>
                <w:b/>
                <w:bCs/>
                <w:sz w:val="18"/>
                <w:szCs w:val="18"/>
              </w:rPr>
              <w:t>-0.</w:t>
            </w:r>
            <w:r>
              <w:rPr>
                <w:rFonts w:hint="eastAsia"/>
                <w:b/>
                <w:bCs/>
                <w:sz w:val="18"/>
                <w:szCs w:val="18"/>
                <w:lang w:val="en-US" w:eastAsia="zh-CN"/>
              </w:rPr>
              <w:t>60</w:t>
            </w:r>
            <w:r>
              <w:rPr>
                <w:rFonts w:hint="eastAsia"/>
                <w:b/>
                <w:bCs/>
                <w:sz w:val="18"/>
                <w:szCs w:val="18"/>
              </w:rPr>
              <w:t>%</w:t>
            </w:r>
          </w:p>
        </w:tc>
        <w:tc>
          <w:tcPr>
            <w:tcW w:w="1810" w:type="dxa"/>
            <w:shd w:val="clear" w:color="auto" w:fill="F1F1F1" w:themeFill="background1" w:themeFillShade="F2"/>
            <w:vAlign w:val="center"/>
          </w:tcPr>
          <w:p>
            <w:pPr>
              <w:jc w:val="center"/>
              <w:rPr>
                <w:rFonts w:hint="default"/>
                <w:b/>
                <w:bCs/>
                <w:sz w:val="24"/>
                <w:szCs w:val="24"/>
              </w:rPr>
            </w:pPr>
            <w:r>
              <w:rPr>
                <w:b/>
                <w:bCs/>
                <w:sz w:val="24"/>
                <w:szCs w:val="24"/>
              </w:rPr>
              <w:t>BBD</w:t>
            </w:r>
            <w:r>
              <w:rPr>
                <w:b/>
                <w:bCs/>
                <w:color w:val="00B050"/>
                <w:sz w:val="24"/>
                <w:szCs w:val="24"/>
              </w:rPr>
              <w:t>:</w:t>
            </w:r>
            <w:r>
              <w:rPr>
                <w:rFonts w:hint="default"/>
                <w:b/>
                <w:bCs/>
                <w:color w:val="00B050"/>
                <w:sz w:val="24"/>
                <w:szCs w:val="24"/>
              </w:rPr>
              <w:t>-565</w:t>
            </w:r>
            <w:r>
              <w:rPr>
                <w:rFonts w:hint="default"/>
                <w:b/>
                <w:bCs/>
                <w:sz w:val="24"/>
                <w:szCs w:val="24"/>
              </w:rPr>
              <w:t>万</w:t>
            </w:r>
          </w:p>
          <w:p>
            <w:pPr>
              <w:jc w:val="center"/>
              <w:rPr>
                <w:rFonts w:hint="default"/>
                <w:b/>
                <w:bCs/>
                <w:sz w:val="24"/>
                <w:szCs w:val="24"/>
                <w:lang w:val="en-US" w:eastAsia="zh-CN"/>
              </w:rPr>
            </w:pPr>
            <w:r>
              <w:rPr>
                <w:b/>
                <w:bCs/>
                <w:sz w:val="24"/>
                <w:szCs w:val="24"/>
              </w:rPr>
              <w:t>换手率:2.00%</w:t>
            </w:r>
          </w:p>
        </w:tc>
        <w:tc>
          <w:tcPr>
            <w:tcW w:w="3872" w:type="dxa"/>
            <w:shd w:val="clear" w:color="auto" w:fill="F1F1F1" w:themeFill="background1" w:themeFillShade="F2"/>
            <w:vAlign w:val="center"/>
          </w:tcPr>
          <w:p>
            <w:pPr>
              <w:numPr>
                <w:ilvl w:val="0"/>
                <w:numId w:val="0"/>
              </w:numPr>
              <w:jc w:val="both"/>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rPr>
              <w:t>公司子公司经营范围：汽油；液化石油气；石脑油；丙烯；压缩空气；丙烯酸；丙烯酸甲酯；丙烯酸乙酯；丙烯酸丁酯；乙烯；甲基叔丁基醚；含苯或甲苯的制品；丁烯-1；氢气；氢气和甲烷混合物（压缩的）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1869" w:type="dxa"/>
            <w:vAlign w:val="center"/>
          </w:tcPr>
          <w:p>
            <w:pPr>
              <w:jc w:val="center"/>
              <w:rPr>
                <w:rFonts w:hint="default"/>
                <w:b/>
                <w:bCs/>
                <w:sz w:val="28"/>
                <w:szCs w:val="28"/>
                <w:lang w:val="en-US" w:eastAsia="zh-CN"/>
              </w:rPr>
            </w:pPr>
            <w:r>
              <w:rPr>
                <w:rFonts w:hint="default"/>
                <w:b/>
                <w:bCs/>
                <w:sz w:val="28"/>
                <w:szCs w:val="28"/>
                <w:lang w:val="en-US" w:eastAsia="zh-CN"/>
              </w:rPr>
              <w:fldChar w:fldCharType="begin"/>
            </w:r>
            <w:r>
              <w:rPr>
                <w:rFonts w:hint="default"/>
                <w:b/>
                <w:bCs/>
                <w:sz w:val="28"/>
                <w:szCs w:val="28"/>
                <w:lang w:val="en-US" w:eastAsia="zh-CN"/>
              </w:rPr>
              <w:instrText xml:space="preserve"> HYPERLINK "http://www.dingniugu.com/dde/600997.html" \t "http://www.dingniugu.com/gegujiexi/_blank" </w:instrText>
            </w:r>
            <w:r>
              <w:rPr>
                <w:rFonts w:hint="default"/>
                <w:b/>
                <w:bCs/>
                <w:sz w:val="28"/>
                <w:szCs w:val="28"/>
                <w:lang w:val="en-US" w:eastAsia="zh-CN"/>
              </w:rPr>
              <w:fldChar w:fldCharType="separate"/>
            </w:r>
            <w:r>
              <w:rPr>
                <w:rFonts w:hint="default"/>
                <w:b/>
                <w:bCs/>
                <w:sz w:val="28"/>
                <w:szCs w:val="28"/>
                <w:lang w:val="en-US" w:eastAsia="zh-CN"/>
              </w:rPr>
              <w:t>开滦股份</w:t>
            </w:r>
            <w:r>
              <w:rPr>
                <w:rFonts w:hint="default"/>
                <w:b/>
                <w:bCs/>
                <w:sz w:val="28"/>
                <w:szCs w:val="28"/>
                <w:lang w:val="en-US" w:eastAsia="zh-CN"/>
              </w:rPr>
              <w:fldChar w:fldCharType="end"/>
            </w:r>
            <w:r>
              <w:rPr>
                <w:rFonts w:hint="default"/>
                <w:b/>
                <w:bCs/>
                <w:sz w:val="28"/>
                <w:szCs w:val="28"/>
                <w:lang w:val="en-US" w:eastAsia="zh-CN"/>
              </w:rPr>
              <w:br w:type="textWrapping"/>
            </w:r>
            <w:r>
              <w:rPr>
                <w:b/>
                <w:bCs/>
                <w:sz w:val="28"/>
                <w:szCs w:val="28"/>
              </w:rPr>
              <w:t>600997</w:t>
            </w:r>
          </w:p>
        </w:tc>
        <w:tc>
          <w:tcPr>
            <w:tcW w:w="778" w:type="dxa"/>
            <w:vAlign w:val="center"/>
          </w:tcPr>
          <w:p>
            <w:pPr>
              <w:jc w:val="center"/>
              <w:rPr>
                <w:rFonts w:hint="default"/>
                <w:b/>
                <w:bCs/>
                <w:color w:val="00B050"/>
                <w:sz w:val="21"/>
                <w:szCs w:val="21"/>
                <w:lang w:val="en-US" w:eastAsia="zh-CN"/>
              </w:rPr>
            </w:pPr>
            <w:r>
              <w:rPr>
                <w:b/>
                <w:bCs/>
                <w:color w:val="00B050"/>
                <w:sz w:val="21"/>
                <w:szCs w:val="21"/>
              </w:rPr>
              <w:t>5.31</w:t>
            </w:r>
          </w:p>
        </w:tc>
        <w:tc>
          <w:tcPr>
            <w:tcW w:w="1554" w:type="dxa"/>
            <w:vAlign w:val="center"/>
          </w:tcPr>
          <w:p>
            <w:pPr>
              <w:jc w:val="center"/>
              <w:rPr>
                <w:rFonts w:hint="eastAsia"/>
                <w:b/>
                <w:bCs/>
                <w:color w:val="00B050"/>
                <w:sz w:val="18"/>
                <w:szCs w:val="18"/>
                <w:lang w:val="en-US" w:eastAsia="zh-CN"/>
              </w:rPr>
            </w:pPr>
            <w:r>
              <w:rPr>
                <w:rFonts w:hint="eastAsia"/>
                <w:b/>
                <w:bCs/>
                <w:color w:val="00B050"/>
                <w:sz w:val="18"/>
                <w:szCs w:val="18"/>
                <w:lang w:val="en-US" w:eastAsia="zh-CN"/>
              </w:rPr>
              <w:t xml:space="preserve">  </w:t>
            </w:r>
          </w:p>
          <w:p>
            <w:pPr>
              <w:jc w:val="center"/>
              <w:rPr>
                <w:rFonts w:hint="default"/>
                <w:b/>
                <w:bCs/>
                <w:color w:val="00B050"/>
                <w:sz w:val="18"/>
                <w:szCs w:val="18"/>
                <w:lang w:val="en-US" w:eastAsia="zh-CN"/>
              </w:rPr>
            </w:pPr>
            <w:r>
              <w:rPr>
                <w:b/>
                <w:bCs/>
                <w:color w:val="00B050"/>
                <w:sz w:val="18"/>
                <w:szCs w:val="18"/>
              </w:rPr>
              <w:drawing>
                <wp:anchor distT="0" distB="0" distL="114300" distR="114300" simplePos="0" relativeHeight="253093888" behindDoc="0" locked="0" layoutInCell="1" allowOverlap="1">
                  <wp:simplePos x="0" y="0"/>
                  <wp:positionH relativeFrom="column">
                    <wp:posOffset>22225</wp:posOffset>
                  </wp:positionH>
                  <wp:positionV relativeFrom="paragraph">
                    <wp:posOffset>70485</wp:posOffset>
                  </wp:positionV>
                  <wp:extent cx="171450" cy="295275"/>
                  <wp:effectExtent l="0" t="0" r="0" b="9525"/>
                  <wp:wrapNone/>
                  <wp:docPr id="1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descr="IMG_256"/>
                          <pic:cNvPicPr>
                            <a:picLocks noChangeAspect="1"/>
                          </pic:cNvPicPr>
                        </pic:nvPicPr>
                        <pic:blipFill>
                          <a:blip r:embed="rId16"/>
                          <a:stretch>
                            <a:fillRect/>
                          </a:stretch>
                        </pic:blipFill>
                        <pic:spPr>
                          <a:xfrm>
                            <a:off x="0" y="0"/>
                            <a:ext cx="171450" cy="295275"/>
                          </a:xfrm>
                          <a:prstGeom prst="rect">
                            <a:avLst/>
                          </a:prstGeom>
                          <a:noFill/>
                          <a:ln w="9525">
                            <a:noFill/>
                          </a:ln>
                        </pic:spPr>
                      </pic:pic>
                    </a:graphicData>
                  </a:graphic>
                </wp:anchor>
              </w:drawing>
            </w:r>
            <w:r>
              <w:rPr>
                <w:rFonts w:hint="eastAsia"/>
                <w:b/>
                <w:bCs/>
                <w:color w:val="00B050"/>
                <w:sz w:val="18"/>
                <w:szCs w:val="18"/>
                <w:lang w:val="en-US" w:eastAsia="zh-CN"/>
              </w:rPr>
              <w:t xml:space="preserve">   -</w:t>
            </w:r>
            <w:r>
              <w:rPr>
                <w:b/>
                <w:bCs/>
                <w:color w:val="00B050"/>
                <w:sz w:val="18"/>
                <w:szCs w:val="18"/>
              </w:rPr>
              <w:t>0.</w:t>
            </w:r>
            <w:r>
              <w:rPr>
                <w:rFonts w:hint="eastAsia"/>
                <w:b/>
                <w:bCs/>
                <w:color w:val="00B050"/>
                <w:sz w:val="18"/>
                <w:szCs w:val="18"/>
                <w:lang w:val="en-US" w:eastAsia="zh-CN"/>
              </w:rPr>
              <w:t>04</w:t>
            </w:r>
          </w:p>
          <w:p>
            <w:pPr>
              <w:jc w:val="center"/>
              <w:rPr>
                <w:rFonts w:hint="default"/>
                <w:b/>
                <w:bCs/>
                <w:color w:val="00B050"/>
                <w:sz w:val="18"/>
                <w:szCs w:val="18"/>
                <w:lang w:val="en-US" w:eastAsia="zh-CN"/>
              </w:rPr>
            </w:pPr>
            <w:r>
              <w:rPr>
                <w:rFonts w:hint="eastAsia"/>
                <w:b/>
                <w:bCs/>
                <w:color w:val="00B050"/>
                <w:sz w:val="18"/>
                <w:szCs w:val="18"/>
                <w:lang w:val="en-US" w:eastAsia="zh-CN"/>
              </w:rPr>
              <w:t xml:space="preserve">   </w:t>
            </w:r>
            <w:r>
              <w:rPr>
                <w:rFonts w:hint="eastAsia"/>
                <w:b/>
                <w:bCs/>
                <w:color w:val="00B050"/>
                <w:sz w:val="18"/>
                <w:szCs w:val="18"/>
              </w:rPr>
              <w:t>-0.</w:t>
            </w:r>
            <w:r>
              <w:rPr>
                <w:rFonts w:hint="eastAsia"/>
                <w:b/>
                <w:bCs/>
                <w:color w:val="00B050"/>
                <w:sz w:val="18"/>
                <w:szCs w:val="18"/>
                <w:lang w:val="en-US" w:eastAsia="zh-CN"/>
              </w:rPr>
              <w:t>75</w:t>
            </w:r>
            <w:r>
              <w:rPr>
                <w:rFonts w:hint="eastAsia"/>
                <w:b/>
                <w:bCs/>
                <w:color w:val="00B050"/>
                <w:sz w:val="18"/>
                <w:szCs w:val="18"/>
              </w:rPr>
              <w:t>%</w:t>
            </w:r>
          </w:p>
        </w:tc>
        <w:tc>
          <w:tcPr>
            <w:tcW w:w="1810" w:type="dxa"/>
            <w:vAlign w:val="center"/>
          </w:tcPr>
          <w:p>
            <w:pPr>
              <w:jc w:val="center"/>
              <w:rPr>
                <w:rFonts w:hint="default"/>
                <w:b/>
                <w:bCs/>
                <w:sz w:val="24"/>
                <w:szCs w:val="24"/>
              </w:rPr>
            </w:pPr>
            <w:r>
              <w:rPr>
                <w:b/>
                <w:bCs/>
                <w:sz w:val="24"/>
                <w:szCs w:val="24"/>
              </w:rPr>
              <w:t>BBD:</w:t>
            </w:r>
            <w:r>
              <w:rPr>
                <w:rFonts w:hint="default"/>
                <w:b/>
                <w:bCs/>
                <w:color w:val="00B050"/>
                <w:sz w:val="24"/>
                <w:szCs w:val="24"/>
              </w:rPr>
              <w:t>-1426</w:t>
            </w:r>
            <w:r>
              <w:rPr>
                <w:rFonts w:hint="default"/>
                <w:b/>
                <w:bCs/>
                <w:sz w:val="24"/>
                <w:szCs w:val="24"/>
              </w:rPr>
              <w:t>万</w:t>
            </w:r>
          </w:p>
          <w:p>
            <w:pPr>
              <w:jc w:val="center"/>
              <w:rPr>
                <w:rFonts w:hint="default"/>
                <w:b/>
                <w:bCs/>
                <w:sz w:val="24"/>
                <w:szCs w:val="24"/>
                <w:lang w:val="en-US" w:eastAsia="zh-CN"/>
              </w:rPr>
            </w:pPr>
            <w:r>
              <w:rPr>
                <w:b/>
                <w:bCs/>
                <w:sz w:val="24"/>
                <w:szCs w:val="24"/>
              </w:rPr>
              <w:t>换手率:0.79%</w:t>
            </w:r>
          </w:p>
        </w:tc>
        <w:tc>
          <w:tcPr>
            <w:tcW w:w="3872" w:type="dxa"/>
            <w:vAlign w:val="center"/>
          </w:tcPr>
          <w:p>
            <w:pPr>
              <w:numPr>
                <w:ilvl w:val="0"/>
                <w:numId w:val="0"/>
              </w:numPr>
              <w:jc w:val="both"/>
              <w:rPr>
                <w:rFonts w:hint="eastAsia" w:ascii="黑体" w:hAnsi="黑体" w:eastAsia="黑体" w:cs="黑体"/>
                <w:b w:val="0"/>
                <w:bCs w:val="0"/>
                <w:i/>
                <w:iCs/>
                <w:sz w:val="18"/>
                <w:szCs w:val="18"/>
                <w:vertAlign w:val="baseline"/>
                <w:lang w:val="en-US" w:eastAsia="zh-CN"/>
              </w:rPr>
            </w:pPr>
            <w:r>
              <w:rPr>
                <w:rFonts w:hint="eastAsia" w:ascii="黑体" w:hAnsi="黑体" w:eastAsia="黑体" w:cs="黑体"/>
                <w:b w:val="0"/>
                <w:bCs w:val="0"/>
                <w:sz w:val="18"/>
                <w:szCs w:val="18"/>
              </w:rPr>
              <w:t>公司以甲醇驰放气为原料生产氢气，同时2018年报披露公司有20万吨/年粗苯加氢精制的加工能力。</w:t>
            </w:r>
          </w:p>
        </w:tc>
      </w:tr>
    </w:tbl>
    <w:p>
      <w:pPr>
        <w:pStyle w:val="4"/>
        <w:spacing w:before="10"/>
        <w:rPr>
          <w:sz w:val="19"/>
        </w:rPr>
      </w:pPr>
    </w:p>
    <w:p>
      <w:pPr>
        <w:pStyle w:val="4"/>
        <w:spacing w:before="10"/>
        <w:jc w:val="left"/>
        <w:rPr>
          <w:rFonts w:hint="default"/>
          <w:sz w:val="19"/>
          <w:lang w:val="en-US"/>
        </w:rPr>
      </w:pPr>
      <w:r>
        <w:rPr>
          <w:rFonts w:hint="eastAsia"/>
          <w:sz w:val="19"/>
          <w:lang w:val="en-US" w:eastAsia="zh-CN"/>
        </w:rPr>
        <w:t xml:space="preserve">                                                                                    </w:t>
      </w:r>
      <w:r>
        <w:rPr>
          <w:rFonts w:hint="eastAsia"/>
          <w:sz w:val="21"/>
          <w:szCs w:val="21"/>
          <w:lang w:val="en-US" w:eastAsia="zh-CN"/>
        </w:rPr>
        <w:t>数据来源：wind、氢能俱乐部</w:t>
      </w:r>
    </w:p>
    <w:p>
      <w:pPr>
        <w:pStyle w:val="4"/>
        <w:spacing w:before="10"/>
        <w:rPr>
          <w:rFonts w:hint="default" w:eastAsia="新宋体"/>
          <w:sz w:val="19"/>
          <w:lang w:val="en-US" w:eastAsia="zh-CN"/>
        </w:rPr>
      </w:pPr>
      <w:r>
        <w:rPr>
          <w:rFonts w:hint="eastAsia"/>
          <w:sz w:val="19"/>
          <w:lang w:val="en-US" w:eastAsia="zh-CN"/>
        </w:rPr>
        <w:t xml:space="preserve">                                                                                            </w: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rFonts w:hint="default" w:eastAsia="新宋体"/>
          <w:sz w:val="19"/>
          <w:lang w:val="en-US" w:eastAsia="zh-CN"/>
        </w:rPr>
      </w:pPr>
      <w:r>
        <w:rPr>
          <w:sz w:val="19"/>
        </w:rPr>
        <w:pict>
          <v:shape id="_x0000_s3253" o:spid="_x0000_s3253" o:spt="202" type="#_x0000_t202" style="position:absolute;left:0pt;margin-left:47.7pt;margin-top:3.9pt;height:673.05pt;width:471.6pt;z-index:253094912;mso-width-relative:page;mso-height-relative:page;" fillcolor="#FFFFFF" filled="t" stroked="f" coordsize="21600,21600">
            <v:path/>
            <v:fill on="t" focussize="0,0"/>
            <v:stroke on="f"/>
            <v:imagedata o:title=""/>
            <o:lock v:ext="edit" aspectratio="f"/>
            <v:textbox>
              <w:txbxContent>
                <w:p>
                  <w:pPr>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 xml:space="preserve">2. 本周行业动态 </w:t>
                  </w:r>
                </w:p>
                <w:p>
                  <w:pPr>
                    <w:rPr>
                      <w:rFonts w:hint="default" w:ascii="楷体" w:hAnsi="楷体" w:eastAsia="楷体" w:cs="楷体"/>
                      <w:b/>
                      <w:bCs/>
                      <w:sz w:val="28"/>
                      <w:szCs w:val="28"/>
                      <w:lang w:val="en-US" w:eastAsia="zh-CN"/>
                    </w:rPr>
                  </w:pPr>
                </w:p>
                <w:p>
                  <w:pPr>
                    <w:numPr>
                      <w:ilvl w:val="0"/>
                      <w:numId w:val="0"/>
                    </w:numPr>
                    <w:spacing w:line="360" w:lineRule="auto"/>
                    <w:ind w:leftChars="0"/>
                    <w:rPr>
                      <w:rFonts w:hint="eastAsia" w:ascii="楷体" w:hAnsi="楷体" w:eastAsia="楷体" w:cs="楷体"/>
                      <w:i w:val="0"/>
                      <w:caps w:val="0"/>
                      <w:color w:val="auto"/>
                      <w:spacing w:val="0"/>
                      <w:sz w:val="22"/>
                      <w:szCs w:val="22"/>
                      <w:shd w:val="clear" w:fill="FFFFFF"/>
                    </w:rPr>
                  </w:pPr>
                  <w:r>
                    <w:rPr>
                      <w:rFonts w:hint="eastAsia" w:ascii="楷体" w:hAnsi="楷体" w:eastAsia="楷体" w:cs="楷体"/>
                      <w:b/>
                      <w:bCs/>
                      <w:sz w:val="32"/>
                      <w:szCs w:val="32"/>
                      <w:lang w:val="en-US" w:eastAsia="zh-CN"/>
                    </w:rPr>
                    <w:t>2.1 广东出台加快氢燃料电池汽车产业发展实施方案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jc w:val="both"/>
                    <w:rPr>
                      <w:rFonts w:hint="eastAsia" w:ascii="楷体" w:hAnsi="楷体" w:eastAsia="楷体" w:cs="楷体"/>
                      <w:i w:val="0"/>
                      <w:caps w:val="0"/>
                      <w:color w:val="auto"/>
                      <w:spacing w:val="0"/>
                      <w:sz w:val="32"/>
                      <w:szCs w:val="32"/>
                      <w:shd w:val="clear" w:fill="FFFFFF"/>
                    </w:rPr>
                  </w:pPr>
                  <w:r>
                    <w:rPr>
                      <w:rFonts w:hint="eastAsia" w:ascii="楷体" w:hAnsi="楷体" w:eastAsia="楷体" w:cs="楷体"/>
                      <w:i w:val="0"/>
                      <w:caps w:val="0"/>
                      <w:color w:val="auto"/>
                      <w:spacing w:val="0"/>
                      <w:sz w:val="32"/>
                      <w:szCs w:val="32"/>
                      <w:shd w:val="clear" w:fill="FFFFFF"/>
                    </w:rPr>
                    <w:t>广东省发改委印发《广东省加快氢燃料电池汽车产业发展实施方案》(下称《方案》)。根据《方案》，要求加快整合省内氢燃料电池汽车产业资源，打造粤港澳大湾区氢燃料电池汽车产业发展示范区，重点突破氢燃料电池关键核心技术和产业化，建立自主可控、技术先进的氢燃料电池汽车产业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right="0"/>
                    <w:jc w:val="both"/>
                    <w:rPr>
                      <w:rFonts w:hint="eastAsia" w:ascii="楷体" w:hAnsi="楷体" w:eastAsia="楷体" w:cs="楷体"/>
                      <w:i w:val="0"/>
                      <w:caps w:val="0"/>
                      <w:color w:val="auto"/>
                      <w:spacing w:val="0"/>
                      <w:sz w:val="32"/>
                      <w:szCs w:val="32"/>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0"/>
                      <w:sz w:val="32"/>
                      <w:szCs w:val="32"/>
                      <w:shd w:val="clear" w:fill="FFFFFF"/>
                    </w:rPr>
                  </w:pPr>
                  <w:r>
                    <w:rPr>
                      <w:rFonts w:hint="eastAsia" w:ascii="楷体" w:hAnsi="楷体" w:eastAsia="楷体" w:cs="楷体"/>
                      <w:i w:val="0"/>
                      <w:caps w:val="0"/>
                      <w:color w:val="auto"/>
                      <w:spacing w:val="0"/>
                      <w:sz w:val="32"/>
                      <w:szCs w:val="32"/>
                      <w:shd w:val="clear" w:fill="FFFFFF"/>
                    </w:rPr>
                    <w:t>此前曾发布的燃料电池汽车示范推广通知提到，要推广超过1000辆达到相关技术指标的燃料电池汽车，被征求意见的省份包括广东省。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0"/>
                      <w:sz w:val="32"/>
                      <w:szCs w:val="32"/>
                      <w:shd w:val="clear" w:fill="FFFFFF"/>
                    </w:rPr>
                  </w:pPr>
                </w:p>
                <w:p>
                  <w:pPr>
                    <w:spacing w:line="240" w:lineRule="auto"/>
                    <w:rPr>
                      <w:rFonts w:hint="eastAsia" w:ascii="楷体" w:hAnsi="楷体" w:eastAsia="楷体" w:cs="楷体"/>
                      <w:i w:val="0"/>
                      <w:caps w:val="0"/>
                      <w:color w:val="auto"/>
                      <w:spacing w:val="0"/>
                      <w:sz w:val="32"/>
                      <w:szCs w:val="32"/>
                      <w:shd w:val="clear" w:fill="FFFFFF"/>
                    </w:rPr>
                  </w:pPr>
                  <w:r>
                    <w:rPr>
                      <w:rFonts w:hint="eastAsia" w:ascii="楷体" w:hAnsi="楷体" w:eastAsia="楷体" w:cs="楷体"/>
                      <w:i w:val="0"/>
                      <w:caps w:val="0"/>
                      <w:color w:val="auto"/>
                      <w:spacing w:val="0"/>
                      <w:sz w:val="32"/>
                      <w:szCs w:val="32"/>
                      <w:shd w:val="clear" w:fill="FFFFFF"/>
                    </w:rPr>
                    <w:t>据中国电动汽车百人会副秘书长王贺武表示，到2020年年底，我国氢能燃料电池汽车争取实现接近万辆的规模。氢能被视为全球最具发展潜力的清洁能源之一。近年来，氢能产业的热度逐年攀升。而此前国家出台的《国家创新驱动发展战略纲要》等重要文件中，明确提及要大力发展氢燃料汽车。到2030年，我国要实现氢燃料电池汽车保有量200万辆的目标。此外，中国汽车工程学会曾预测到2030年，我国氢能汽车产业产值有望突破万亿元大关。</w:t>
                  </w:r>
                </w:p>
                <w:p>
                  <w:pPr>
                    <w:spacing w:line="240" w:lineRule="auto"/>
                    <w:rPr>
                      <w:rFonts w:hint="eastAsia" w:ascii="楷体" w:hAnsi="楷体" w:eastAsia="楷体" w:cs="楷体"/>
                      <w:i w:val="0"/>
                      <w:caps w:val="0"/>
                      <w:color w:val="333333"/>
                      <w:spacing w:val="0"/>
                      <w:sz w:val="32"/>
                      <w:szCs w:val="32"/>
                      <w:shd w:val="clear" w:fill="FFFFFF"/>
                    </w:rPr>
                  </w:pPr>
                </w:p>
                <w:p>
                  <w:pPr>
                    <w:numPr>
                      <w:ilvl w:val="0"/>
                      <w:numId w:val="0"/>
                    </w:numPr>
                    <w:spacing w:line="360" w:lineRule="auto"/>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2.2 科技部：继续加强氢能与燃料电池技术攻关与核心技术实质突破</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在对十三届全国人大三次会议第6592号建议的答复中，科技部表示，将结合国家中长期科技发展规划研究和“十四五”国家重点研发计划重点专项凝练等工作，继续加强氢能与燃料电池技术攻关，加快关键核心技术取得实质性突破。</w:t>
                  </w:r>
                </w:p>
                <w:p>
                  <w:pPr>
                    <w:spacing w:line="240" w:lineRule="auto"/>
                    <w:ind w:firstLine="640" w:firstLineChars="200"/>
                    <w:rPr>
                      <w:rFonts w:hint="eastAsia" w:ascii="楷体" w:hAnsi="楷体" w:eastAsia="楷体" w:cs="楷体"/>
                      <w:sz w:val="32"/>
                      <w:szCs w:val="32"/>
                      <w:lang w:val="en-US" w:eastAsia="zh-CN"/>
                    </w:rPr>
                  </w:pPr>
                </w:p>
                <w:p>
                  <w:pPr>
                    <w:spacing w:line="240" w:lineRule="auto"/>
                    <w:rPr>
                      <w:rFonts w:hint="default" w:ascii="楷体" w:hAnsi="楷体" w:eastAsia="楷体" w:cs="楷体"/>
                      <w:sz w:val="32"/>
                      <w:szCs w:val="32"/>
                      <w:lang w:val="en-US" w:eastAsia="zh-CN"/>
                    </w:rPr>
                  </w:pPr>
                  <w:r>
                    <w:rPr>
                      <w:rFonts w:hint="eastAsia" w:ascii="楷体" w:hAnsi="楷体" w:eastAsia="楷体" w:cs="楷体"/>
                      <w:sz w:val="32"/>
                      <w:szCs w:val="32"/>
                      <w:lang w:val="en-US" w:eastAsia="zh-CN"/>
                    </w:rPr>
                    <w:t>科技部表示，高度重视燃料电池汽车技术研发。经过四个五年国家科技计划的组织实施，我国燃料电池从电堆、系统到关键部件</w:t>
                  </w:r>
                </w:p>
                <w:p>
                  <w:pPr>
                    <w:spacing w:line="360" w:lineRule="auto"/>
                    <w:ind w:firstLine="440" w:firstLineChars="200"/>
                    <w:rPr>
                      <w:rFonts w:hint="eastAsia" w:ascii="楷体" w:hAnsi="楷体" w:eastAsia="楷体" w:cs="楷体"/>
                      <w:sz w:val="22"/>
                      <w:szCs w:val="22"/>
                      <w:lang w:val="en-US" w:eastAsia="zh-CN"/>
                    </w:rPr>
                  </w:pPr>
                </w:p>
                <w:p>
                  <w:pPr>
                    <w:spacing w:line="360" w:lineRule="auto"/>
                    <w:ind w:firstLine="440" w:firstLineChars="200"/>
                    <w:rPr>
                      <w:rFonts w:hint="eastAsia" w:ascii="楷体" w:hAnsi="楷体" w:eastAsia="楷体" w:cs="楷体"/>
                      <w:sz w:val="22"/>
                      <w:szCs w:val="22"/>
                      <w:lang w:val="en-US" w:eastAsia="zh-CN"/>
                    </w:rPr>
                  </w:pPr>
                  <w:r>
                    <w:rPr>
                      <w:rFonts w:hint="eastAsia" w:ascii="楷体" w:hAnsi="楷体" w:eastAsia="楷体" w:cs="楷体"/>
                      <w:sz w:val="22"/>
                      <w:szCs w:val="22"/>
                      <w:lang w:val="en-US" w:eastAsia="zh-CN"/>
                    </w:rPr>
                    <w:t>加强技术研发的同时，科技部积极推动燃料电池汽车示范运行考核。从2008年北京奥运会投入燃料电池轿车作为马拉松先导车和燃料电池客车作为运动员收容车开始，燃料电池汽车示范运行拉开序幕，并在上海世博会、深圳大运会等国际重大赛事活动中继续进行示范应用考核。</w:t>
                  </w:r>
                </w:p>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Fonts w:hint="eastAsia" w:ascii="楷体" w:hAnsi="楷体" w:eastAsia="楷体" w:cs="楷体"/>
                      <w:i w:val="0"/>
                      <w:caps w:val="0"/>
                      <w:color w:val="333333"/>
                      <w:spacing w:val="8"/>
                      <w:sz w:val="22"/>
                      <w:szCs w:val="22"/>
                      <w:shd w:val="clear" w:fill="FFFFFF"/>
                    </w:rPr>
                  </w:pPr>
                  <w:r>
                    <w:rPr>
                      <w:rFonts w:hint="eastAsia" w:ascii="楷体" w:hAnsi="楷体" w:eastAsia="楷体" w:cs="楷体"/>
                      <w:sz w:val="22"/>
                      <w:szCs w:val="22"/>
                      <w:lang w:val="en-US" w:eastAsia="zh-CN"/>
                    </w:rPr>
                    <w:t xml:space="preserve">2.3 </w:t>
                  </w:r>
                  <w:r>
                    <w:rPr>
                      <w:rFonts w:hint="eastAsia" w:ascii="楷体" w:hAnsi="楷体" w:eastAsia="楷体" w:cs="楷体"/>
                      <w:i w:val="0"/>
                      <w:caps w:val="0"/>
                      <w:color w:val="333333"/>
                      <w:spacing w:val="8"/>
                      <w:sz w:val="22"/>
                      <w:szCs w:val="22"/>
                      <w:shd w:val="clear" w:fill="FFFFFF"/>
                    </w:rPr>
                    <w:t>山东省发布新基建三年行动方案 （2020-2022年）</w:t>
                  </w:r>
                </w:p>
                <w:p>
                  <w:pPr>
                    <w:rPr>
                      <w:rFonts w:hint="eastAsia" w:ascii="楷体" w:hAnsi="楷体" w:eastAsia="楷体" w:cs="楷体"/>
                      <w:i w:val="0"/>
                      <w:caps w:val="0"/>
                      <w:color w:val="333333"/>
                      <w:spacing w:val="8"/>
                      <w:sz w:val="22"/>
                      <w:szCs w:val="22"/>
                      <w:shd w:val="clear" w:fill="FFFFFF"/>
                    </w:rPr>
                  </w:pPr>
                </w:p>
                <w:p>
                  <w:pPr>
                    <w:rPr>
                      <w:rFonts w:hint="eastAsia" w:ascii="楷体" w:hAnsi="楷体" w:eastAsia="楷体" w:cs="楷体"/>
                      <w:i w:val="0"/>
                      <w:caps w:val="0"/>
                      <w:color w:val="333333"/>
                      <w:spacing w:val="8"/>
                      <w:sz w:val="22"/>
                      <w:szCs w:val="22"/>
                      <w:shd w:val="clear" w:fill="FFFFFF"/>
                    </w:rPr>
                  </w:pPr>
                  <w:r>
                    <w:rPr>
                      <w:rFonts w:hint="eastAsia" w:ascii="楷体" w:hAnsi="楷体" w:eastAsia="楷体" w:cs="楷体"/>
                      <w:i w:val="0"/>
                      <w:caps w:val="0"/>
                      <w:color w:val="333333"/>
                      <w:spacing w:val="0"/>
                      <w:sz w:val="22"/>
                      <w:szCs w:val="22"/>
                      <w:shd w:val="clear" w:fill="FFFFFF"/>
                    </w:rPr>
                    <w:t>山东省人民政府发布《山东省新基建三年行动方案（2020-2022年）》，到2022年，公共停车场充电桩占车位比不低于15%，全省各类充电桩保有量达10万个以上、加氢站30座，依托具备条件的高速服务区基本建成充电站间距合理的服务圈。</w:t>
                  </w:r>
                </w:p>
                <w:p>
                  <w:pPr>
                    <w:rPr>
                      <w:rFonts w:hint="default" w:eastAsia="新宋体"/>
                      <w:lang w:val="en-US" w:eastAsia="zh-CN"/>
                    </w:rPr>
                  </w:pPr>
                </w:p>
                <w:p>
                  <w:pPr>
                    <w:rPr>
                      <w:rFonts w:hint="default" w:eastAsia="新宋体"/>
                      <w:lang w:val="en-US" w:eastAsia="zh-CN"/>
                    </w:rPr>
                  </w:pPr>
                </w:p>
              </w:txbxContent>
            </v:textbox>
          </v:shape>
        </w:pict>
      </w:r>
      <w:r>
        <w:rPr>
          <w:rFonts w:hint="eastAsia"/>
          <w:sz w:val="19"/>
          <w:lang w:val="en-US" w:eastAsia="zh-CN"/>
        </w:rPr>
        <w:t xml:space="preserve">  </w: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62" o:spid="_x0000_s3262" o:spt="202" type="#_x0000_t202" style="position:absolute;left:0pt;margin-left:45.5pt;margin-top:1.35pt;height:681.45pt;width:486pt;z-index:253094912;mso-width-relative:page;mso-height-relative:page;" fillcolor="#FFFFFF" filled="t" stroked="f" coordsize="21600,21600">
            <v:path/>
            <v:fill on="t" color2="#FFFFFF" focussize="0,0"/>
            <v:stroke on="f"/>
            <v:imagedata o:title=""/>
            <o:lock v:ext="edit" aspectratio="f"/>
            <v:textbox>
              <w:txbxContent>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技术研发均取得一系列关键突破，形成了涵盖制氢、储氢、氢安全及燃料电池及整车应用等技术的产学研用研发体系，培育了一批从事燃料电池及关键零部件研发生产的企业。</w:t>
                  </w:r>
                </w:p>
                <w:p>
                  <w:pPr>
                    <w:spacing w:line="240" w:lineRule="auto"/>
                    <w:rPr>
                      <w:rFonts w:hint="eastAsia" w:ascii="楷体" w:hAnsi="楷体" w:eastAsia="楷体" w:cs="楷体"/>
                      <w:sz w:val="32"/>
                      <w:szCs w:val="32"/>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rPr>
                      <w:rFonts w:hint="eastAsia" w:ascii="楷体" w:hAnsi="楷体" w:eastAsia="楷体" w:cs="楷体"/>
                      <w:i w:val="0"/>
                      <w:caps w:val="0"/>
                      <w:color w:val="auto"/>
                      <w:spacing w:val="8"/>
                      <w:sz w:val="32"/>
                      <w:szCs w:val="32"/>
                      <w:shd w:val="clear" w:fill="FFFFFF"/>
                    </w:rPr>
                  </w:pPr>
                  <w:r>
                    <w:rPr>
                      <w:rFonts w:hint="eastAsia" w:ascii="楷体" w:hAnsi="楷体" w:eastAsia="楷体" w:cs="楷体"/>
                      <w:sz w:val="32"/>
                      <w:szCs w:val="32"/>
                      <w:lang w:val="en-US" w:eastAsia="zh-CN"/>
                    </w:rPr>
                    <w:t xml:space="preserve">2.3 </w:t>
                  </w:r>
                  <w:r>
                    <w:rPr>
                      <w:rFonts w:hint="eastAsia" w:ascii="楷体" w:hAnsi="楷体" w:eastAsia="楷体" w:cs="楷体"/>
                      <w:i w:val="0"/>
                      <w:caps w:val="0"/>
                      <w:color w:val="333333"/>
                      <w:spacing w:val="8"/>
                      <w:sz w:val="32"/>
                      <w:szCs w:val="32"/>
                      <w:shd w:val="clear" w:fill="FFFFFF"/>
                    </w:rPr>
                    <w:t>山东省发布新基建三年行动方案 （2020-2022年）</w:t>
                  </w:r>
                </w:p>
                <w:p>
                  <w:pPr>
                    <w:spacing w:line="240" w:lineRule="auto"/>
                    <w:rPr>
                      <w:rFonts w:hint="eastAsia" w:ascii="楷体" w:hAnsi="楷体" w:eastAsia="楷体" w:cs="楷体"/>
                      <w:i w:val="0"/>
                      <w:caps w:val="0"/>
                      <w:color w:val="auto"/>
                      <w:spacing w:val="8"/>
                      <w:sz w:val="32"/>
                      <w:szCs w:val="32"/>
                      <w:shd w:val="clear" w:fill="FFFFFF"/>
                    </w:rPr>
                  </w:pPr>
                  <w:r>
                    <w:rPr>
                      <w:rFonts w:hint="eastAsia" w:ascii="楷体" w:hAnsi="楷体" w:eastAsia="楷体" w:cs="楷体"/>
                      <w:i w:val="0"/>
                      <w:caps w:val="0"/>
                      <w:color w:val="auto"/>
                      <w:spacing w:val="0"/>
                      <w:sz w:val="32"/>
                      <w:szCs w:val="32"/>
                      <w:shd w:val="clear" w:fill="FFFFFF"/>
                    </w:rPr>
                    <w:t>山东省人民政府发布《山东省新基建三年行动方案（2020-2022年）》，</w:t>
                  </w:r>
                  <w:r>
                    <w:rPr>
                      <w:rFonts w:hint="eastAsia" w:ascii="楷体" w:hAnsi="楷体" w:eastAsia="楷体" w:cs="楷体"/>
                      <w:i w:val="0"/>
                      <w:caps w:val="0"/>
                      <w:color w:val="auto"/>
                      <w:spacing w:val="8"/>
                      <w:sz w:val="32"/>
                      <w:szCs w:val="32"/>
                      <w:shd w:val="clear" w:fill="FFFFFF"/>
                    </w:rPr>
                    <w:t>方案指出山东2022年基本建成新型基础设施建设先行区示范区，而在加氢站方面，指出要合理配置、适度超前布局加氢站，强化高速公路服务区、公路加油站等重点交通区域的配套建设。到2022年，全省各类充电桩保有量达10万个以上、加氢站30座，依托具备条件的高速服务区基本建成充电站间距合理的服务圈。</w:t>
                  </w:r>
                </w:p>
                <w:p>
                  <w:pPr>
                    <w:spacing w:line="240" w:lineRule="auto"/>
                    <w:rPr>
                      <w:rFonts w:hint="eastAsia" w:ascii="楷体" w:hAnsi="楷体" w:eastAsia="楷体" w:cs="楷体"/>
                      <w:i w:val="0"/>
                      <w:caps w:val="0"/>
                      <w:color w:val="auto"/>
                      <w:spacing w:val="8"/>
                      <w:sz w:val="32"/>
                      <w:szCs w:val="32"/>
                      <w:shd w:val="clear" w:fill="FFFFFF"/>
                    </w:rPr>
                  </w:pPr>
                </w:p>
                <w:p>
                  <w:pPr>
                    <w:spacing w:line="240" w:lineRule="auto"/>
                    <w:rPr>
                      <w:rFonts w:hint="default" w:ascii="楷体" w:hAnsi="楷体" w:eastAsia="楷体" w:cs="楷体"/>
                      <w:b/>
                      <w:bCs/>
                      <w:i w:val="0"/>
                      <w:caps w:val="0"/>
                      <w:color w:val="auto"/>
                      <w:spacing w:val="8"/>
                      <w:sz w:val="32"/>
                      <w:szCs w:val="32"/>
                      <w:shd w:val="clear" w:fill="FFFFFF"/>
                      <w:lang w:val="en-US" w:eastAsia="zh-CN"/>
                    </w:rPr>
                  </w:pPr>
                  <w:r>
                    <w:rPr>
                      <w:rFonts w:hint="eastAsia" w:ascii="楷体" w:hAnsi="楷体" w:eastAsia="楷体" w:cs="楷体"/>
                      <w:b/>
                      <w:bCs/>
                      <w:i w:val="0"/>
                      <w:caps w:val="0"/>
                      <w:color w:val="auto"/>
                      <w:spacing w:val="8"/>
                      <w:sz w:val="32"/>
                      <w:szCs w:val="32"/>
                      <w:shd w:val="clear" w:fill="FFFFFF"/>
                      <w:lang w:val="en-US" w:eastAsia="zh-CN"/>
                    </w:rPr>
                    <w:t xml:space="preserve">2.4 </w:t>
                  </w:r>
                  <w:r>
                    <w:rPr>
                      <w:rFonts w:hint="eastAsia" w:ascii="楷体" w:hAnsi="楷体" w:eastAsia="楷体" w:cs="楷体"/>
                      <w:b/>
                      <w:bCs/>
                      <w:i w:val="0"/>
                      <w:caps w:val="0"/>
                      <w:color w:val="auto"/>
                      <w:spacing w:val="8"/>
                      <w:sz w:val="32"/>
                      <w:szCs w:val="32"/>
                      <w:shd w:val="clear" w:fill="FFFFFF"/>
                    </w:rPr>
                    <w:t>吉林电力交易中心近日发布</w:t>
                  </w:r>
                  <w:r>
                    <w:rPr>
                      <w:rStyle w:val="12"/>
                      <w:rFonts w:hint="eastAsia" w:ascii="楷体" w:hAnsi="楷体" w:eastAsia="楷体" w:cs="楷体"/>
                      <w:b/>
                      <w:bCs/>
                      <w:i w:val="0"/>
                      <w:caps w:val="0"/>
                      <w:color w:val="auto"/>
                      <w:spacing w:val="8"/>
                      <w:sz w:val="32"/>
                      <w:szCs w:val="32"/>
                      <w:shd w:val="clear" w:fill="FFFFFF"/>
                    </w:rPr>
                    <w:t>《关于开展2020年氢能产业与风电企业直接交易的通知》</w:t>
                  </w:r>
                </w:p>
                <w:p>
                  <w:pPr>
                    <w:spacing w:line="240" w:lineRule="auto"/>
                    <w:rPr>
                      <w:rFonts w:hint="default" w:eastAsia="新宋体"/>
                      <w:color w:val="auto"/>
                      <w:sz w:val="32"/>
                      <w:szCs w:val="32"/>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r>
                    <w:rPr>
                      <w:rFonts w:hint="eastAsia" w:ascii="楷体" w:hAnsi="楷体" w:eastAsia="楷体" w:cs="楷体"/>
                      <w:i w:val="0"/>
                      <w:caps w:val="0"/>
                      <w:color w:val="auto"/>
                      <w:spacing w:val="8"/>
                      <w:sz w:val="32"/>
                      <w:szCs w:val="32"/>
                      <w:shd w:val="clear" w:fill="FFFFFF"/>
                    </w:rPr>
                    <w:t>吉林电力交易中心近日发布</w:t>
                  </w:r>
                  <w:r>
                    <w:rPr>
                      <w:rStyle w:val="12"/>
                      <w:rFonts w:hint="eastAsia" w:ascii="楷体" w:hAnsi="楷体" w:eastAsia="楷体" w:cs="楷体"/>
                      <w:b w:val="0"/>
                      <w:bCs/>
                      <w:i w:val="0"/>
                      <w:caps w:val="0"/>
                      <w:color w:val="auto"/>
                      <w:spacing w:val="8"/>
                      <w:sz w:val="32"/>
                      <w:szCs w:val="32"/>
                      <w:shd w:val="clear" w:fill="FFFFFF"/>
                    </w:rPr>
                    <w:t>《关于开展2020年氢能产业与风电企业直接交易的通知》</w:t>
                  </w:r>
                  <w:r>
                    <w:rPr>
                      <w:rFonts w:hint="eastAsia" w:ascii="楷体" w:hAnsi="楷体" w:eastAsia="楷体" w:cs="楷体"/>
                      <w:i w:val="0"/>
                      <w:caps w:val="0"/>
                      <w:color w:val="auto"/>
                      <w:spacing w:val="8"/>
                      <w:sz w:val="32"/>
                      <w:szCs w:val="32"/>
                      <w:shd w:val="clear" w:fill="FFFFFF"/>
                    </w:rPr>
                    <w:t>，明确于2020年11月11日至11月16日，在吉林电力交易平台上组织开展风电与电力用户直接交易。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r>
                    <w:rPr>
                      <w:rFonts w:hint="eastAsia" w:ascii="楷体" w:hAnsi="楷体" w:eastAsia="楷体" w:cs="楷体"/>
                      <w:i w:val="0"/>
                      <w:caps w:val="0"/>
                      <w:color w:val="auto"/>
                      <w:spacing w:val="8"/>
                      <w:sz w:val="32"/>
                      <w:szCs w:val="32"/>
                      <w:shd w:val="clear" w:fill="FFFFFF"/>
                    </w:rPr>
                    <w:t>根据《通知》，本次交易采取</w:t>
                  </w:r>
                  <w:r>
                    <w:rPr>
                      <w:rStyle w:val="12"/>
                      <w:rFonts w:hint="eastAsia" w:ascii="楷体" w:hAnsi="楷体" w:eastAsia="楷体" w:cs="楷体"/>
                      <w:b w:val="0"/>
                      <w:bCs/>
                      <w:i w:val="0"/>
                      <w:caps w:val="0"/>
                      <w:color w:val="auto"/>
                      <w:spacing w:val="8"/>
                      <w:sz w:val="32"/>
                      <w:szCs w:val="32"/>
                      <w:shd w:val="clear" w:fill="FFFFFF"/>
                    </w:rPr>
                    <w:t>挂牌方式进行</w:t>
                  </w:r>
                  <w:r>
                    <w:rPr>
                      <w:rFonts w:hint="eastAsia" w:ascii="楷体" w:hAnsi="楷体" w:eastAsia="楷体" w:cs="楷体"/>
                      <w:i w:val="0"/>
                      <w:caps w:val="0"/>
                      <w:color w:val="auto"/>
                      <w:spacing w:val="8"/>
                      <w:sz w:val="32"/>
                      <w:szCs w:val="32"/>
                      <w:shd w:val="clear" w:fill="FFFFFF"/>
                    </w:rPr>
                    <w:t>。电力用户及售电公司按公告时间登陆吉林电力交易平台申报需求电量的数量和挂牌价格，风电企业申报摘牌电量。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r>
                    <w:rPr>
                      <w:rFonts w:hint="eastAsia" w:ascii="楷体" w:hAnsi="楷体" w:eastAsia="楷体" w:cs="楷体"/>
                      <w:i w:val="0"/>
                      <w:caps w:val="0"/>
                      <w:color w:val="auto"/>
                      <w:spacing w:val="8"/>
                      <w:sz w:val="32"/>
                      <w:szCs w:val="32"/>
                      <w:shd w:val="clear" w:fill="FFFFFF"/>
                    </w:rPr>
                    <w:t>本次交易电量为购电侧用电量，交易价格为发电企业上网电价（可再生能源电价补贴另行结算）。电量单位为兆瓦时，电价单位为元/兆瓦时，电价精确到0.01元/兆瓦时。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Microsoft YaHei UI" w:hAnsi="Microsoft YaHei UI" w:eastAsia="Microsoft YaHei UI" w:cs="Microsoft YaHei UI"/>
                      <w:i w:val="0"/>
                      <w:caps w:val="0"/>
                      <w:color w:val="auto"/>
                      <w:spacing w:val="8"/>
                      <w:sz w:val="32"/>
                      <w:szCs w:val="32"/>
                    </w:rPr>
                  </w:pPr>
                  <w:r>
                    <w:rPr>
                      <w:rFonts w:hint="eastAsia" w:ascii="楷体" w:hAnsi="楷体" w:eastAsia="楷体" w:cs="楷体"/>
                      <w:i w:val="0"/>
                      <w:caps w:val="0"/>
                      <w:color w:val="auto"/>
                      <w:spacing w:val="8"/>
                      <w:sz w:val="32"/>
                      <w:szCs w:val="32"/>
                      <w:shd w:val="clear" w:fill="FFFFFF"/>
                    </w:rPr>
                    <w:t>本次交易</w:t>
                  </w:r>
                  <w:r>
                    <w:rPr>
                      <w:rStyle w:val="12"/>
                      <w:rFonts w:hint="eastAsia" w:ascii="楷体" w:hAnsi="楷体" w:eastAsia="楷体" w:cs="楷体"/>
                      <w:b w:val="0"/>
                      <w:bCs/>
                      <w:i w:val="0"/>
                      <w:caps w:val="0"/>
                      <w:color w:val="auto"/>
                      <w:spacing w:val="8"/>
                      <w:sz w:val="32"/>
                      <w:szCs w:val="32"/>
                      <w:shd w:val="clear" w:fill="FFFFFF"/>
                    </w:rPr>
                    <w:t>采用输配电价模式</w:t>
                  </w:r>
                  <w:r>
                    <w:rPr>
                      <w:rFonts w:hint="eastAsia" w:ascii="楷体" w:hAnsi="楷体" w:eastAsia="楷体" w:cs="楷体"/>
                      <w:i w:val="0"/>
                      <w:caps w:val="0"/>
                      <w:color w:val="auto"/>
                      <w:spacing w:val="8"/>
                      <w:sz w:val="32"/>
                      <w:szCs w:val="32"/>
                      <w:shd w:val="clear" w:fill="FFFFFF"/>
                    </w:rPr>
                    <w:t>，输配电价标准按照国家批复文件和省政府有关文件要求执行。年度直接交易有效期内，如遇国家电价政策调整，则按新规定执行。</w:t>
                  </w:r>
                </w:p>
                <w:p>
                  <w:pPr>
                    <w:spacing w:line="240" w:lineRule="auto"/>
                    <w:rPr>
                      <w:sz w:val="32"/>
                      <w:szCs w:val="32"/>
                    </w:rPr>
                  </w:pP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54" o:spid="_x0000_s3254" o:spt="202" type="#_x0000_t202" style="position:absolute;left:0pt;margin-left:44.25pt;margin-top:1.75pt;height:699.65pt;width:471.9pt;z-index:253095936;mso-width-relative:page;mso-height-relative:page;" fillcolor="#FFFFFF" filled="t" stroked="f" coordsize="21600,21600">
            <v:path/>
            <v:fill on="t" color2="#FFFFFF" focussize="0,0"/>
            <v:stroke on="f"/>
            <v:imagedata o:title=""/>
            <o:lock v:ext="edit" aspectratio="f"/>
            <v:textbox>
              <w:txbxContent>
                <w:p/>
                <w:p>
                  <w:pPr>
                    <w:spacing w:line="360" w:lineRule="auto"/>
                    <w:rPr>
                      <w:rFonts w:hint="eastAsia" w:ascii="楷体" w:hAnsi="楷体" w:eastAsia="楷体" w:cs="楷体"/>
                      <w:i w:val="0"/>
                      <w:caps w:val="0"/>
                      <w:color w:val="auto"/>
                      <w:spacing w:val="8"/>
                      <w:sz w:val="32"/>
                      <w:szCs w:val="32"/>
                      <w:shd w:val="clear" w:fill="FFFFFF"/>
                    </w:rPr>
                  </w:pPr>
                  <w:r>
                    <w:rPr>
                      <w:rFonts w:hint="eastAsia" w:ascii="楷体" w:hAnsi="楷体" w:eastAsia="楷体" w:cs="楷体"/>
                      <w:b/>
                      <w:bCs/>
                      <w:sz w:val="32"/>
                      <w:szCs w:val="32"/>
                      <w:lang w:val="en-US" w:eastAsia="zh-CN"/>
                    </w:rPr>
                    <w:t xml:space="preserve">2.5 </w:t>
                  </w:r>
                  <w:r>
                    <w:rPr>
                      <w:rFonts w:hint="eastAsia" w:ascii="楷体" w:hAnsi="楷体" w:eastAsia="楷体" w:cs="楷体"/>
                      <w:b/>
                      <w:bCs/>
                      <w:color w:val="auto"/>
                      <w:sz w:val="32"/>
                      <w:szCs w:val="32"/>
                      <w:lang w:val="en-US" w:eastAsia="zh-CN"/>
                    </w:rPr>
                    <w:t>内蒙古</w:t>
                  </w:r>
                  <w:r>
                    <w:rPr>
                      <w:rFonts w:hint="eastAsia" w:ascii="楷体" w:hAnsi="楷体" w:eastAsia="楷体" w:cs="楷体"/>
                      <w:b/>
                      <w:bCs/>
                      <w:i w:val="0"/>
                      <w:caps w:val="0"/>
                      <w:color w:val="auto"/>
                      <w:spacing w:val="8"/>
                      <w:sz w:val="32"/>
                      <w:szCs w:val="32"/>
                      <w:shd w:val="clear" w:fill="FFFFFF"/>
                    </w:rPr>
                    <w:t>酝酿出台《内蒙古自治区氢能产业发展指导意见》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b w:val="0"/>
                      <w:bCs/>
                      <w:i w:val="0"/>
                      <w:caps w:val="0"/>
                      <w:color w:val="auto"/>
                      <w:spacing w:val="8"/>
                      <w:sz w:val="32"/>
                      <w:szCs w:val="32"/>
                    </w:rPr>
                  </w:pPr>
                  <w:r>
                    <w:rPr>
                      <w:rFonts w:hint="eastAsia" w:ascii="楷体" w:hAnsi="楷体" w:eastAsia="楷体" w:cs="楷体"/>
                      <w:i w:val="0"/>
                      <w:caps w:val="0"/>
                      <w:color w:val="auto"/>
                      <w:spacing w:val="8"/>
                      <w:sz w:val="32"/>
                      <w:szCs w:val="32"/>
                      <w:shd w:val="clear" w:fill="FFFFFF"/>
                      <w:lang w:val="en-US" w:eastAsia="zh-CN"/>
                    </w:rPr>
                    <w:t>内蒙古</w:t>
                  </w:r>
                  <w:r>
                    <w:rPr>
                      <w:rFonts w:hint="eastAsia" w:ascii="楷体" w:hAnsi="楷体" w:eastAsia="楷体" w:cs="楷体"/>
                      <w:i w:val="0"/>
                      <w:caps w:val="0"/>
                      <w:color w:val="auto"/>
                      <w:spacing w:val="8"/>
                      <w:sz w:val="32"/>
                      <w:szCs w:val="32"/>
                      <w:shd w:val="clear" w:fill="FFFFFF"/>
                    </w:rPr>
                    <w:t>官方正在酝酿出台《内蒙古自治区氢能产业发展指导意见》</w:t>
                  </w:r>
                  <w:r>
                    <w:rPr>
                      <w:rFonts w:hint="eastAsia" w:ascii="楷体" w:hAnsi="楷体" w:eastAsia="楷体" w:cs="楷体"/>
                      <w:i w:val="0"/>
                      <w:caps w:val="0"/>
                      <w:color w:val="auto"/>
                      <w:spacing w:val="8"/>
                      <w:sz w:val="32"/>
                      <w:szCs w:val="32"/>
                      <w:shd w:val="clear" w:fill="FFFFFF"/>
                      <w:lang w:eastAsia="zh-CN"/>
                    </w:rPr>
                    <w:t>，</w:t>
                  </w:r>
                  <w:r>
                    <w:rPr>
                      <w:rFonts w:hint="eastAsia" w:ascii="楷体" w:hAnsi="楷体" w:eastAsia="楷体" w:cs="楷体"/>
                      <w:i w:val="0"/>
                      <w:caps w:val="0"/>
                      <w:color w:val="auto"/>
                      <w:spacing w:val="8"/>
                      <w:sz w:val="32"/>
                      <w:szCs w:val="32"/>
                      <w:shd w:val="clear" w:fill="FFFFFF"/>
                    </w:rPr>
                    <w:t>该《意见》主要围绕推进氢能产业多元发展、开展氢能关键技术攻关等6项重点任务，</w:t>
                  </w:r>
                  <w:r>
                    <w:rPr>
                      <w:rStyle w:val="12"/>
                      <w:rFonts w:hint="eastAsia" w:ascii="楷体" w:hAnsi="楷体" w:eastAsia="楷体" w:cs="楷体"/>
                      <w:b w:val="0"/>
                      <w:bCs/>
                      <w:i w:val="0"/>
                      <w:caps w:val="0"/>
                      <w:color w:val="auto"/>
                      <w:spacing w:val="8"/>
                      <w:sz w:val="32"/>
                      <w:szCs w:val="32"/>
                      <w:shd w:val="clear" w:fill="FFFFFF"/>
                    </w:rPr>
                    <w:t>将从用电成本、氢气储运设备制造、加氢站建设与运营等8个方面出台相关支持政策。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shd w:val="clear" w:fill="FFFFFF"/>
                    </w:rPr>
                  </w:pPr>
                  <w:r>
                    <w:rPr>
                      <w:rFonts w:hint="eastAsia" w:ascii="楷体" w:hAnsi="楷体" w:eastAsia="楷体" w:cs="楷体"/>
                      <w:i w:val="0"/>
                      <w:caps w:val="0"/>
                      <w:color w:val="auto"/>
                      <w:spacing w:val="8"/>
                      <w:sz w:val="32"/>
                      <w:szCs w:val="32"/>
                      <w:shd w:val="clear" w:fill="FFFFFF"/>
                    </w:rPr>
                    <w:t>目前内蒙古已开始大力度推进氢能产业发展，在内蒙古乌海、鄂尔多斯等地已推出了相关项目，力图在氢能产业方面有所建树。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8"/>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40" w:lineRule="auto"/>
                    <w:ind w:left="0" w:right="0" w:firstLine="0"/>
                    <w:rPr>
                      <w:rFonts w:hint="eastAsia" w:ascii="楷体" w:hAnsi="楷体" w:eastAsia="楷体" w:cs="楷体"/>
                      <w:b w:val="0"/>
                      <w:bCs w:val="0"/>
                      <w:i w:val="0"/>
                      <w:caps w:val="0"/>
                      <w:color w:val="333333"/>
                      <w:spacing w:val="8"/>
                      <w:sz w:val="32"/>
                      <w:szCs w:val="32"/>
                      <w:shd w:val="clear" w:fill="FFFFFF"/>
                    </w:rPr>
                  </w:pPr>
                  <w:r>
                    <w:rPr>
                      <w:rFonts w:hint="eastAsia" w:ascii="楷体" w:hAnsi="楷体" w:eastAsia="楷体" w:cs="楷体"/>
                      <w:b/>
                      <w:bCs/>
                      <w:i w:val="0"/>
                      <w:caps w:val="0"/>
                      <w:color w:val="333333"/>
                      <w:spacing w:val="8"/>
                      <w:sz w:val="32"/>
                      <w:szCs w:val="32"/>
                      <w:shd w:val="clear" w:fill="FFFFFF"/>
                      <w:lang w:val="en-US" w:eastAsia="zh-CN"/>
                    </w:rPr>
                    <w:t xml:space="preserve">2.6 </w:t>
                  </w:r>
                  <w:r>
                    <w:rPr>
                      <w:rFonts w:hint="eastAsia" w:ascii="楷体" w:hAnsi="楷体" w:eastAsia="楷体" w:cs="楷体"/>
                      <w:b/>
                      <w:bCs/>
                      <w:i w:val="0"/>
                      <w:caps w:val="0"/>
                      <w:color w:val="333333"/>
                      <w:spacing w:val="8"/>
                      <w:sz w:val="32"/>
                      <w:szCs w:val="32"/>
                      <w:shd w:val="clear" w:fill="FFFFFF"/>
                    </w:rPr>
                    <w:t>上海六部门印发《上海市燃料电池汽车产业创新发展实施计划》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0"/>
                      <w:sz w:val="32"/>
                      <w:szCs w:val="32"/>
                      <w:shd w:val="clear" w:fill="FFFFFF"/>
                    </w:rPr>
                  </w:pPr>
                  <w:r>
                    <w:rPr>
                      <w:rFonts w:hint="eastAsia" w:ascii="楷体" w:hAnsi="楷体" w:eastAsia="楷体" w:cs="楷体"/>
                      <w:i w:val="0"/>
                      <w:caps w:val="0"/>
                      <w:color w:val="auto"/>
                      <w:spacing w:val="0"/>
                      <w:sz w:val="32"/>
                      <w:szCs w:val="32"/>
                      <w:shd w:val="clear" w:fill="FFFFFF"/>
                    </w:rPr>
                    <w:t>11月13日，上海市经济信息化委、市发展改革委、市交通委、市科委、市住房城乡建设管理委、市财政局联合印发了关于《上海市燃料电池汽车产业创新发展实施计划》的通知。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ascii="楷体" w:hAnsi="楷体" w:eastAsia="楷体" w:cs="楷体"/>
                      <w:i w:val="0"/>
                      <w:caps w:val="0"/>
                      <w:color w:val="auto"/>
                      <w:spacing w:val="0"/>
                      <w:sz w:val="32"/>
                      <w:szCs w:val="32"/>
                      <w:shd w:val="clear" w:fill="FFFFFF"/>
                    </w:rPr>
                  </w:pPr>
                </w:p>
                <w:p>
                  <w:pPr>
                    <w:spacing w:line="240" w:lineRule="auto"/>
                    <w:rPr>
                      <w:rFonts w:hint="eastAsia" w:ascii="楷体" w:hAnsi="楷体" w:eastAsia="楷体" w:cs="楷体"/>
                      <w:i w:val="0"/>
                      <w:caps w:val="0"/>
                      <w:color w:val="auto"/>
                      <w:spacing w:val="0"/>
                      <w:sz w:val="32"/>
                      <w:szCs w:val="32"/>
                      <w:shd w:val="clear" w:fill="FFFFFF"/>
                    </w:rPr>
                  </w:pPr>
                  <w:r>
                    <w:rPr>
                      <w:rFonts w:hint="eastAsia" w:ascii="楷体" w:hAnsi="楷体" w:eastAsia="楷体" w:cs="楷体"/>
                      <w:i w:val="0"/>
                      <w:caps w:val="0"/>
                      <w:color w:val="auto"/>
                      <w:spacing w:val="0"/>
                      <w:sz w:val="32"/>
                      <w:szCs w:val="32"/>
                      <w:shd w:val="clear" w:fill="FFFFFF"/>
                    </w:rPr>
                    <w:t>计划指出，到2023年，上海燃料电池汽车产业发展实现“百站、千亿、万辆”总体目标，规划加氢站接近100座并建成运行超过30座，加氢网络全国最大，形成产出规模约1000亿元，发展规模全国前列，推广燃料电池汽车接近10000辆，应用规模全国领先；燃料电池汽车产业整体发展水平达到国际领先，关键技术实现自主掌握，创新产品推向全球市场，氢能基础设施趋于完善，推广应用规模持续扩大，核心竞争能力显著提升，产业创新生态基本形成。</w:t>
                  </w:r>
                </w:p>
                <w:p>
                  <w:pPr>
                    <w:spacing w:line="240" w:lineRule="auto"/>
                    <w:rPr>
                      <w:rFonts w:hint="eastAsia" w:ascii="楷体" w:hAnsi="楷体" w:eastAsia="楷体" w:cs="楷体"/>
                      <w:i w:val="0"/>
                      <w:caps w:val="0"/>
                      <w:color w:val="auto"/>
                      <w:spacing w:val="0"/>
                      <w:sz w:val="32"/>
                      <w:szCs w:val="32"/>
                      <w:shd w:val="clear" w:fill="FFFFFF"/>
                    </w:rPr>
                  </w:pPr>
                </w:p>
                <w:p>
                  <w:pPr>
                    <w:spacing w:line="360" w:lineRule="auto"/>
                    <w:rPr>
                      <w:rFonts w:hint="eastAsia" w:ascii="楷体" w:hAnsi="楷体" w:eastAsia="楷体" w:cs="楷体"/>
                      <w:b/>
                      <w:bCs/>
                      <w:i w:val="0"/>
                      <w:caps w:val="0"/>
                      <w:color w:val="333333"/>
                      <w:spacing w:val="30"/>
                      <w:sz w:val="32"/>
                      <w:szCs w:val="32"/>
                      <w:shd w:val="clear" w:fill="FFFFFF"/>
                    </w:rPr>
                  </w:pPr>
                  <w:r>
                    <w:rPr>
                      <w:rFonts w:hint="eastAsia" w:ascii="楷体" w:hAnsi="楷体" w:eastAsia="楷体" w:cs="楷体"/>
                      <w:b/>
                      <w:bCs/>
                      <w:i w:val="0"/>
                      <w:caps w:val="0"/>
                      <w:color w:val="auto"/>
                      <w:spacing w:val="0"/>
                      <w:sz w:val="32"/>
                      <w:szCs w:val="32"/>
                      <w:shd w:val="clear" w:fill="FFFFFF"/>
                      <w:lang w:val="en-US" w:eastAsia="zh-CN"/>
                    </w:rPr>
                    <w:t xml:space="preserve">2.7 </w:t>
                  </w:r>
                  <w:r>
                    <w:rPr>
                      <w:rFonts w:hint="eastAsia" w:ascii="楷体" w:hAnsi="楷体" w:eastAsia="楷体" w:cs="楷体"/>
                      <w:b/>
                      <w:bCs/>
                      <w:i w:val="0"/>
                      <w:caps w:val="0"/>
                      <w:color w:val="333333"/>
                      <w:spacing w:val="30"/>
                      <w:sz w:val="32"/>
                      <w:szCs w:val="32"/>
                      <w:shd w:val="clear" w:fill="FFFFFF"/>
                    </w:rPr>
                    <w:t>《青浦区氢能及燃料电池产业规划》正式发布。</w:t>
                  </w:r>
                </w:p>
                <w:p>
                  <w:pPr>
                    <w:spacing w:line="240" w:lineRule="auto"/>
                    <w:rPr>
                      <w:rFonts w:hint="eastAsia" w:ascii="楷体" w:hAnsi="楷体" w:eastAsia="楷体" w:cs="楷体"/>
                      <w:sz w:val="32"/>
                      <w:szCs w:val="32"/>
                    </w:rPr>
                  </w:pPr>
                  <w:r>
                    <w:rPr>
                      <w:rFonts w:hint="eastAsia" w:ascii="楷体" w:hAnsi="楷体" w:eastAsia="楷体" w:cs="楷体"/>
                      <w:sz w:val="32"/>
                      <w:szCs w:val="32"/>
                    </w:rPr>
                    <w:t>2020年10月30日，2020年青浦区氢能规划发布会暨氢能产业项目签约仪式在青浦举行。会上启动发布了《青浦区氢能及燃料电池产业规划》。11月12日，该规划文件正式发布。</w:t>
                  </w:r>
                </w:p>
                <w:p>
                  <w:pPr>
                    <w:spacing w:line="240" w:lineRule="auto"/>
                    <w:rPr>
                      <w:rFonts w:hint="eastAsia" w:ascii="楷体" w:hAnsi="楷体" w:eastAsia="楷体" w:cs="楷体"/>
                      <w:i w:val="0"/>
                      <w:caps w:val="0"/>
                      <w:color w:val="333333"/>
                      <w:spacing w:val="30"/>
                      <w:sz w:val="32"/>
                      <w:szCs w:val="32"/>
                      <w:shd w:val="clear" w:fill="FFFFFF"/>
                    </w:rPr>
                  </w:pPr>
                </w:p>
                <w:p>
                  <w:pPr>
                    <w:spacing w:line="360" w:lineRule="auto"/>
                    <w:rPr>
                      <w:rFonts w:hint="eastAsia" w:ascii="楷体" w:hAnsi="楷体" w:eastAsia="楷体" w:cs="楷体"/>
                      <w:i w:val="0"/>
                      <w:caps w:val="0"/>
                      <w:color w:val="auto"/>
                      <w:spacing w:val="8"/>
                      <w:sz w:val="22"/>
                      <w:szCs w:val="22"/>
                      <w:shd w:val="clear" w:fill="FFFFFF"/>
                      <w:lang w:val="en-US" w:eastAsia="zh-CN"/>
                    </w:rPr>
                  </w:pP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55" o:spid="_x0000_s3255" o:spt="202" type="#_x0000_t202" style="position:absolute;left:0pt;margin-left:47.1pt;margin-top:3.9pt;height:717.35pt;width:469.5pt;z-index:253096960;mso-width-relative:page;mso-height-relative:page;" fillcolor="#FFFFFF" filled="t" stroked="f" coordsize="21600,21600">
            <v:path/>
            <v:fill on="t" color2="#FFFFFF" focussize="0,0"/>
            <v:stroke on="f"/>
            <v:imagedata o:title=""/>
            <o:lock v:ext="edit" aspectratio="f"/>
            <v:textbox>
              <w:txbxContent>
                <w:p>
                  <w:pPr>
                    <w:spacing w:line="240" w:lineRule="auto"/>
                    <w:rPr>
                      <w:rFonts w:hint="eastAsia" w:ascii="楷体" w:hAnsi="楷体" w:eastAsia="楷体" w:cs="楷体"/>
                      <w:i w:val="0"/>
                      <w:caps w:val="0"/>
                      <w:color w:val="auto"/>
                      <w:spacing w:val="30"/>
                      <w:sz w:val="32"/>
                      <w:szCs w:val="32"/>
                      <w:shd w:val="clear" w:fill="FFFFFF"/>
                      <w:lang w:val="en-US" w:eastAsia="zh-CN"/>
                    </w:rPr>
                  </w:pPr>
                  <w:r>
                    <w:rPr>
                      <w:rFonts w:hint="eastAsia" w:ascii="楷体" w:hAnsi="楷体" w:eastAsia="楷体" w:cs="楷体"/>
                      <w:sz w:val="22"/>
                      <w:szCs w:val="22"/>
                    </w:rPr>
                    <w:br w:type="textWrapping"/>
                  </w:r>
                  <w:r>
                    <w:rPr>
                      <w:rFonts w:hint="eastAsia" w:ascii="楷体" w:hAnsi="楷体" w:eastAsia="楷体" w:cs="楷体"/>
                      <w:sz w:val="32"/>
                      <w:szCs w:val="32"/>
                    </w:rPr>
                    <w:t>规划提出，到2022年，青浦区氢能全产业链年营收力争突破70亿元，初步完成氢能产业园区核心启动</w:t>
                  </w:r>
                  <w:r>
                    <w:rPr>
                      <w:rFonts w:hint="eastAsia" w:ascii="楷体" w:hAnsi="楷体" w:eastAsia="楷体" w:cs="楷体"/>
                      <w:color w:val="auto"/>
                      <w:sz w:val="32"/>
                      <w:szCs w:val="32"/>
                    </w:rPr>
                    <w:t>区的规划建设，重点培育企业3到5家，建成加氢站5座以上。到2025年，力争引进国家级检验检测机构和公共服务平台1到2家，建成加氢站8座以上。到2030年，力争让氢能全产业链企业布局完整、协同发展，氢能运营车辆不少于2000辆。</w:t>
                  </w:r>
                </w:p>
                <w:p>
                  <w:pPr>
                    <w:spacing w:line="240" w:lineRule="auto"/>
                    <w:rPr>
                      <w:rFonts w:hint="eastAsia" w:ascii="楷体" w:hAnsi="楷体" w:eastAsia="楷体" w:cs="楷体"/>
                      <w:i w:val="0"/>
                      <w:caps w:val="0"/>
                      <w:color w:val="auto"/>
                      <w:spacing w:val="0"/>
                      <w:sz w:val="32"/>
                      <w:szCs w:val="32"/>
                      <w:shd w:val="clear" w:fill="FFFFFF"/>
                    </w:rPr>
                  </w:pPr>
                </w:p>
                <w:p>
                  <w:pPr>
                    <w:numPr>
                      <w:ilvl w:val="0"/>
                      <w:numId w:val="2"/>
                    </w:numPr>
                    <w:spacing w:line="240" w:lineRule="auto"/>
                    <w:rPr>
                      <w:rFonts w:hint="default" w:ascii="楷体" w:hAnsi="楷体" w:eastAsia="楷体" w:cs="楷体"/>
                      <w:b/>
                      <w:bCs/>
                      <w:i w:val="0"/>
                      <w:caps w:val="0"/>
                      <w:color w:val="auto"/>
                      <w:spacing w:val="0"/>
                      <w:sz w:val="36"/>
                      <w:szCs w:val="36"/>
                      <w:shd w:val="clear" w:fill="FFFFFF"/>
                      <w:lang w:val="en-US" w:eastAsia="zh-CN"/>
                    </w:rPr>
                  </w:pPr>
                  <w:r>
                    <w:rPr>
                      <w:rFonts w:hint="eastAsia" w:ascii="楷体" w:hAnsi="楷体" w:eastAsia="楷体" w:cs="楷体"/>
                      <w:b/>
                      <w:bCs/>
                      <w:i w:val="0"/>
                      <w:caps w:val="0"/>
                      <w:color w:val="auto"/>
                      <w:spacing w:val="0"/>
                      <w:sz w:val="36"/>
                      <w:szCs w:val="36"/>
                      <w:shd w:val="clear" w:fill="FFFFFF"/>
                      <w:lang w:val="en-US" w:eastAsia="zh-CN"/>
                    </w:rPr>
                    <w:t>本周企业动态</w:t>
                  </w:r>
                </w:p>
                <w:p>
                  <w:pPr>
                    <w:spacing w:line="240" w:lineRule="auto"/>
                    <w:rPr>
                      <w:rFonts w:hint="eastAsia" w:ascii="楷体" w:hAnsi="楷体" w:eastAsia="楷体" w:cs="楷体"/>
                      <w:sz w:val="32"/>
                      <w:szCs w:val="32"/>
                      <w:lang w:val="en-US" w:eastAsia="zh-CN"/>
                    </w:rPr>
                  </w:pPr>
                </w:p>
                <w:p>
                  <w:pPr>
                    <w:spacing w:line="360" w:lineRule="auto"/>
                    <w:rPr>
                      <w:rFonts w:hint="eastAsia" w:ascii="楷体" w:hAnsi="楷体" w:eastAsia="楷体" w:cs="楷体"/>
                      <w:sz w:val="32"/>
                      <w:szCs w:val="32"/>
                      <w:lang w:val="en-US" w:eastAsia="zh-CN"/>
                    </w:rPr>
                  </w:pPr>
                  <w:r>
                    <w:rPr>
                      <w:rFonts w:hint="eastAsia" w:ascii="楷体" w:hAnsi="楷体" w:eastAsia="楷体" w:cs="楷体"/>
                      <w:b/>
                      <w:bCs/>
                      <w:sz w:val="32"/>
                      <w:szCs w:val="32"/>
                      <w:lang w:val="en-US" w:eastAsia="zh-CN"/>
                    </w:rPr>
                    <w:t>3.1 林德：</w:t>
                  </w:r>
                  <w:r>
                    <w:rPr>
                      <w:rFonts w:hint="eastAsia" w:ascii="楷体" w:hAnsi="楷体" w:eastAsia="楷体" w:cs="楷体"/>
                      <w:sz w:val="32"/>
                      <w:szCs w:val="32"/>
                    </w:rPr>
                    <w:t>签署氢能产业链项目合作框架协议</w:t>
                  </w:r>
                </w:p>
                <w:p>
                  <w:pPr>
                    <w:spacing w:line="240" w:lineRule="auto"/>
                    <w:rPr>
                      <w:rFonts w:hint="eastAsia" w:ascii="楷体" w:hAnsi="楷体" w:eastAsia="楷体" w:cs="楷体"/>
                      <w:sz w:val="32"/>
                      <w:szCs w:val="32"/>
                    </w:rPr>
                  </w:pPr>
                  <w:r>
                    <w:rPr>
                      <w:rFonts w:hint="eastAsia" w:ascii="楷体" w:hAnsi="楷体" w:eastAsia="楷体" w:cs="楷体"/>
                      <w:sz w:val="32"/>
                      <w:szCs w:val="32"/>
                    </w:rPr>
                    <w:t>嘉兴港区管委会与林德公司、上海华谊（集团）公司三方代表签署氢能产业链项目合作框架协议，该项目总投资1亿美元以上。根据合作协议，三方将加强氢能开发应用领域的合作，建立全面战略合作伙伴关系，在氢能的生产和供应、纯化和液化、储存和运输以及加氢站充装等方面开展深入合作。</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lang w:val="en-US" w:eastAsia="zh-CN"/>
                    </w:rPr>
                  </w:pPr>
                  <w:r>
                    <w:rPr>
                      <w:rFonts w:hint="eastAsia" w:ascii="楷体" w:hAnsi="楷体" w:eastAsia="楷体" w:cs="楷体"/>
                      <w:b/>
                      <w:bCs/>
                      <w:sz w:val="32"/>
                      <w:szCs w:val="32"/>
                      <w:lang w:val="en-US" w:eastAsia="zh-CN"/>
                    </w:rPr>
                    <w:t>3.2 空气化工：</w:t>
                  </w:r>
                  <w:r>
                    <w:rPr>
                      <w:rFonts w:hint="eastAsia" w:ascii="楷体" w:hAnsi="楷体" w:eastAsia="楷体" w:cs="楷体"/>
                      <w:sz w:val="32"/>
                      <w:szCs w:val="32"/>
                      <w:lang w:val="en-US" w:eastAsia="zh-CN"/>
                    </w:rPr>
                    <w:t>与海盐经开区签署氢能应用研发中心</w:t>
                  </w:r>
                </w:p>
                <w:p>
                  <w:pPr>
                    <w:spacing w:line="240" w:lineRule="auto"/>
                    <w:rPr>
                      <w:rFonts w:hint="eastAsia" w:ascii="楷体" w:hAnsi="楷体" w:eastAsia="楷体" w:cs="楷体"/>
                      <w:sz w:val="32"/>
                      <w:szCs w:val="32"/>
                    </w:rPr>
                  </w:pPr>
                  <w:r>
                    <w:rPr>
                      <w:rFonts w:hint="eastAsia" w:ascii="楷体" w:hAnsi="楷体" w:eastAsia="楷体" w:cs="楷体"/>
                      <w:sz w:val="32"/>
                      <w:szCs w:val="32"/>
                    </w:rPr>
                    <w:t>11月7日，海盐经济开发区与空气化工产品（中国）投资有限公司就氢能应用研发中心项目正式签约，该中心项目的建设利于加快亚洲区域氢能的应用研发，推动技术创新突破和落地转化，最终形成氢能产业核心竞争力和发展集群。</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3.3 空气化工：</w:t>
                  </w:r>
                  <w:r>
                    <w:rPr>
                      <w:rFonts w:hint="eastAsia" w:ascii="楷体" w:hAnsi="楷体" w:eastAsia="楷体" w:cs="楷体"/>
                      <w:sz w:val="32"/>
                      <w:szCs w:val="32"/>
                      <w:lang w:val="en-US" w:eastAsia="zh-CN"/>
                    </w:rPr>
                    <w:t>与</w:t>
                  </w:r>
                  <w:r>
                    <w:rPr>
                      <w:rFonts w:hint="eastAsia" w:ascii="楷体" w:hAnsi="楷体" w:eastAsia="楷体" w:cs="楷体"/>
                      <w:sz w:val="32"/>
                      <w:szCs w:val="32"/>
                    </w:rPr>
                    <w:t>呼市、久泰集团签署氢能示范城市创建战略合</w:t>
                  </w:r>
                  <w:r>
                    <w:rPr>
                      <w:rFonts w:hint="eastAsia" w:ascii="楷体" w:hAnsi="楷体" w:eastAsia="楷体" w:cs="楷体"/>
                      <w:color w:val="000000"/>
                      <w:sz w:val="32"/>
                      <w:szCs w:val="32"/>
                    </w:rPr>
                    <w:t>作协</w:t>
                  </w:r>
                  <w:r>
                    <w:rPr>
                      <w:rFonts w:hint="eastAsia" w:ascii="楷体" w:hAnsi="楷体" w:eastAsia="楷体" w:cs="楷体"/>
                      <w:color w:val="000000" w:themeColor="text1"/>
                      <w:sz w:val="32"/>
                      <w:szCs w:val="32"/>
                    </w:rPr>
                    <w:t>议</w:t>
                  </w:r>
                </w:p>
                <w:p>
                  <w:pPr>
                    <w:spacing w:line="240" w:lineRule="auto"/>
                    <w:rPr>
                      <w:rFonts w:hint="eastAsia" w:ascii="楷体" w:hAnsi="楷体" w:eastAsia="楷体" w:cs="楷体"/>
                      <w:color w:val="auto"/>
                      <w:sz w:val="32"/>
                      <w:szCs w:val="32"/>
                    </w:rPr>
                  </w:pPr>
                  <w:r>
                    <w:rPr>
                      <w:rFonts w:hint="eastAsia" w:ascii="楷体" w:hAnsi="楷体" w:eastAsia="楷体" w:cs="楷体"/>
                      <w:color w:val="auto"/>
                      <w:sz w:val="32"/>
                      <w:szCs w:val="32"/>
                    </w:rPr>
                    <w:t>呼和浩特市人民政府、久泰集团与空气产品公司三方签署氢能示范城市创建战略合作协议，正式结成战略合作伙伴关系，共同探索创建氢能示范城市。</w:t>
                  </w:r>
                </w:p>
                <w:p>
                  <w:pPr>
                    <w:spacing w:line="240" w:lineRule="auto"/>
                    <w:rPr>
                      <w:rFonts w:hint="eastAsia" w:ascii="楷体" w:hAnsi="楷体" w:eastAsia="楷体" w:cs="楷体"/>
                      <w:sz w:val="32"/>
                      <w:szCs w:val="32"/>
                      <w:lang w:val="en-US" w:eastAsia="zh-CN"/>
                    </w:rPr>
                  </w:pPr>
                  <w:r>
                    <w:rPr>
                      <w:rFonts w:hint="eastAsia" w:ascii="楷体" w:hAnsi="楷体" w:eastAsia="楷体" w:cs="楷体"/>
                      <w:color w:val="auto"/>
                      <w:sz w:val="32"/>
                      <w:szCs w:val="32"/>
                    </w:rPr>
                    <w:t>此次呼和浩特市人民政府、空气产品公司与久泰集团三方携手，本着“优势互补、资源共享，相互促进，共同发展”的原则，充分发挥各自在技术、产品、资源、政策、人才等方面的优</w:t>
                  </w:r>
                  <w:r>
                    <w:rPr>
                      <w:rFonts w:hint="eastAsia" w:ascii="楷体" w:hAnsi="楷体" w:eastAsia="楷体" w:cs="楷体"/>
                      <w:sz w:val="32"/>
                      <w:szCs w:val="32"/>
                    </w:rPr>
                    <w:t>势，依托久泰现有产业丰富的尾氢资源，共同开发氢能综合利用，从而</w:t>
                  </w: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56" o:spid="_x0000_s3256" o:spt="202" type="#_x0000_t202" style="position:absolute;left:0pt;margin-left:47.2pt;margin-top:8.65pt;height:680.6pt;width:470.9pt;z-index:253097984;mso-width-relative:page;mso-height-relative:page;" fillcolor="#FFFFFF" filled="t" stroked="f" coordsize="21600,21600">
            <v:path/>
            <v:fill on="t" color2="#FFFFFF" focussize="0,0"/>
            <v:stroke on="f"/>
            <v:imagedata o:title=""/>
            <o:lock v:ext="edit" aspectratio="f"/>
            <v:textbox>
              <w:txbxContent>
                <w:p>
                  <w:pPr>
                    <w:spacing w:line="240" w:lineRule="auto"/>
                    <w:rPr>
                      <w:rFonts w:hint="eastAsia" w:ascii="楷体" w:hAnsi="楷体" w:eastAsia="楷体" w:cs="楷体"/>
                      <w:sz w:val="32"/>
                      <w:szCs w:val="32"/>
                      <w:lang w:eastAsia="zh-CN"/>
                    </w:rPr>
                  </w:pPr>
                  <w:r>
                    <w:rPr>
                      <w:rFonts w:hint="eastAsia" w:ascii="楷体" w:hAnsi="楷体" w:eastAsia="楷体" w:cs="楷体"/>
                      <w:sz w:val="32"/>
                      <w:szCs w:val="32"/>
                    </w:rPr>
                    <w:t>推进氢气产业从气态模式向液态模式的转换，推动氢能产业协同发展，建成世界领先的大型商业化液氢项目</w:t>
                  </w:r>
                  <w:r>
                    <w:rPr>
                      <w:rFonts w:hint="eastAsia" w:ascii="楷体" w:hAnsi="楷体" w:eastAsia="楷体" w:cs="楷体"/>
                      <w:sz w:val="32"/>
                      <w:szCs w:val="32"/>
                      <w:lang w:eastAsia="zh-CN"/>
                    </w:rPr>
                    <w:t>。</w:t>
                  </w:r>
                </w:p>
                <w:p>
                  <w:pPr>
                    <w:spacing w:line="240" w:lineRule="auto"/>
                    <w:rPr>
                      <w:rFonts w:hint="eastAsia" w:ascii="楷体" w:hAnsi="楷体" w:eastAsia="楷体" w:cs="楷体"/>
                      <w:sz w:val="32"/>
                      <w:szCs w:val="32"/>
                      <w:lang w:val="en-US" w:eastAsia="zh-CN"/>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3.4 </w:t>
                  </w:r>
                  <w:r>
                    <w:rPr>
                      <w:rFonts w:hint="eastAsia" w:ascii="楷体" w:hAnsi="楷体" w:eastAsia="楷体" w:cs="楷体"/>
                      <w:b/>
                      <w:bCs/>
                      <w:sz w:val="32"/>
                      <w:szCs w:val="32"/>
                    </w:rPr>
                    <w:t>英国石油公司</w:t>
                  </w:r>
                  <w:r>
                    <w:rPr>
                      <w:rFonts w:hint="eastAsia" w:ascii="楷体" w:hAnsi="楷体" w:eastAsia="楷体" w:cs="楷体"/>
                      <w:b/>
                      <w:bCs/>
                      <w:sz w:val="32"/>
                      <w:szCs w:val="32"/>
                      <w:lang w:eastAsia="zh-CN"/>
                    </w:rPr>
                    <w:t>：</w:t>
                  </w:r>
                  <w:r>
                    <w:rPr>
                      <w:rFonts w:hint="eastAsia" w:ascii="楷体" w:hAnsi="楷体" w:eastAsia="楷体" w:cs="楷体"/>
                      <w:sz w:val="32"/>
                      <w:szCs w:val="32"/>
                    </w:rPr>
                    <w:t>将在德国炼油厂启动绿色氢能项目</w:t>
                  </w:r>
                </w:p>
                <w:p>
                  <w:pPr>
                    <w:spacing w:line="240" w:lineRule="auto"/>
                    <w:rPr>
                      <w:rFonts w:hint="eastAsia" w:ascii="楷体" w:hAnsi="楷体" w:eastAsia="楷体" w:cs="楷体"/>
                      <w:sz w:val="32"/>
                      <w:szCs w:val="32"/>
                    </w:rPr>
                  </w:pPr>
                  <w:r>
                    <w:rPr>
                      <w:rFonts w:hint="eastAsia" w:ascii="楷体" w:hAnsi="楷体" w:eastAsia="楷体" w:cs="楷体"/>
                      <w:sz w:val="32"/>
                      <w:szCs w:val="32"/>
                    </w:rPr>
                    <w:t>英国石油公司BP和丹麦可再生能源集团Orsted合作，在德国一家炼油厂开发开发零碳氢气，这是BP在该行业的首个全面化的项目。该项目将在德国西北部的Lingen炼油厂，利用北海的风能，通过电解水来生产绿氢。</w:t>
                  </w:r>
                </w:p>
                <w:p>
                  <w:pPr>
                    <w:spacing w:line="240" w:lineRule="auto"/>
                    <w:rPr>
                      <w:rFonts w:hint="eastAsia" w:ascii="楷体" w:hAnsi="楷体" w:eastAsia="楷体" w:cs="楷体"/>
                      <w:sz w:val="32"/>
                      <w:szCs w:val="32"/>
                      <w:lang w:eastAsia="zh-CN"/>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3.5  </w:t>
                  </w:r>
                  <w:r>
                    <w:rPr>
                      <w:rFonts w:hint="eastAsia" w:ascii="楷体" w:hAnsi="楷体" w:eastAsia="楷体" w:cs="楷体"/>
                      <w:b/>
                      <w:bCs/>
                      <w:sz w:val="32"/>
                      <w:szCs w:val="32"/>
                    </w:rPr>
                    <w:t>雄韬股份</w:t>
                  </w:r>
                  <w:r>
                    <w:rPr>
                      <w:rFonts w:hint="eastAsia" w:ascii="楷体" w:hAnsi="楷体" w:eastAsia="楷体" w:cs="楷体"/>
                      <w:b/>
                      <w:bCs/>
                      <w:sz w:val="32"/>
                      <w:szCs w:val="32"/>
                      <w:lang w:val="en-US" w:eastAsia="zh-CN"/>
                    </w:rPr>
                    <w:t>＆</w:t>
                  </w:r>
                  <w:r>
                    <w:rPr>
                      <w:rFonts w:hint="eastAsia" w:ascii="楷体" w:hAnsi="楷体" w:eastAsia="楷体" w:cs="楷体"/>
                      <w:b/>
                      <w:bCs/>
                      <w:sz w:val="32"/>
                      <w:szCs w:val="32"/>
                    </w:rPr>
                    <w:t>京能同鑫</w:t>
                  </w:r>
                  <w:r>
                    <w:rPr>
                      <w:rFonts w:hint="eastAsia" w:ascii="楷体" w:hAnsi="楷体" w:eastAsia="楷体" w:cs="楷体"/>
                      <w:b/>
                      <w:bCs/>
                      <w:sz w:val="32"/>
                      <w:szCs w:val="32"/>
                      <w:lang w:eastAsia="zh-CN"/>
                    </w:rPr>
                    <w:t>：</w:t>
                  </w:r>
                  <w:r>
                    <w:rPr>
                      <w:rFonts w:hint="eastAsia" w:ascii="楷体" w:hAnsi="楷体" w:eastAsia="楷体" w:cs="楷体"/>
                      <w:sz w:val="32"/>
                      <w:szCs w:val="32"/>
                    </w:rPr>
                    <w:t>签署战略合作协议 共同推进氢能源产业链发展</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11月11日，雄韬股份（002733）公告称，公司拟与北京京能同鑫投资管理有限公司签署《战略合作协议》。经双方友好协商，双方决定建立互利共赢的全面战略合作伙伴关系，并就合作事宜达成共识，共同推进与大同市、北京市在氢能源产业链发展的合作，将在有条件、有空间、有政策基础的区域共同推动关键项目的落地。双方可同时采取联合研发、共同成立合资公司、相互参股等各种合作形式。</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雄韬股份表示，本次公司与京能同鑫签署《战略合作协议》，快速实现新能源电池产业与电力能源产业在储能、制氢与加氢、分布式能源、汽车动力等各领域的协同案例与规模效应，帮助双方实现产业链延伸、产业规模与品牌效应提升。进一步优化产业结构，将为公司的快速发展创造新的效益增长点。</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3.6 </w:t>
                  </w:r>
                  <w:r>
                    <w:rPr>
                      <w:rFonts w:hint="eastAsia" w:ascii="楷体" w:hAnsi="楷体" w:eastAsia="楷体" w:cs="楷体"/>
                      <w:b/>
                      <w:bCs/>
                      <w:sz w:val="32"/>
                      <w:szCs w:val="32"/>
                    </w:rPr>
                    <w:t>未势能源</w:t>
                  </w:r>
                  <w:r>
                    <w:rPr>
                      <w:rFonts w:hint="eastAsia" w:ascii="楷体" w:hAnsi="楷体" w:eastAsia="楷体" w:cs="楷体"/>
                      <w:b/>
                      <w:bCs/>
                      <w:sz w:val="32"/>
                      <w:szCs w:val="32"/>
                      <w:lang w:val="en-US" w:eastAsia="zh-CN"/>
                    </w:rPr>
                    <w:t>＆</w:t>
                  </w:r>
                  <w:r>
                    <w:rPr>
                      <w:rFonts w:hint="eastAsia" w:ascii="楷体" w:hAnsi="楷体" w:eastAsia="楷体" w:cs="楷体"/>
                      <w:b/>
                      <w:bCs/>
                      <w:sz w:val="32"/>
                      <w:szCs w:val="32"/>
                    </w:rPr>
                    <w:t>捷氢科技</w:t>
                  </w:r>
                  <w:r>
                    <w:rPr>
                      <w:rFonts w:hint="eastAsia" w:ascii="楷体" w:hAnsi="楷体" w:eastAsia="楷体" w:cs="楷体"/>
                      <w:b/>
                      <w:bCs/>
                      <w:sz w:val="32"/>
                      <w:szCs w:val="32"/>
                      <w:lang w:eastAsia="zh-CN"/>
                    </w:rPr>
                    <w:t>：</w:t>
                  </w:r>
                  <w:r>
                    <w:rPr>
                      <w:rFonts w:hint="eastAsia" w:ascii="楷体" w:hAnsi="楷体" w:eastAsia="楷体" w:cs="楷体"/>
                      <w:sz w:val="32"/>
                      <w:szCs w:val="32"/>
                    </w:rPr>
                    <w:t>共同研发燃料电池核心技术研发</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rPr>
                    <w:t>11月11日上午，未势能源科技有限公司（以下简称“未势能源”）与上海捷氢科技有限公司(以下简称“捷氢科技”) 在保定举行战略合作签约仪式，双方将深入开展氢能产业业务战略合作，携手坚持走自主研发与创新之路，共促氢燃料电池产业稳健</w:t>
                  </w: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63" o:spid="_x0000_s3263" o:spt="202" type="#_x0000_t202" style="position:absolute;left:0pt;margin-left:45.1pt;margin-top:6pt;height:712.45pt;width:485.6pt;z-index:253095936;mso-width-relative:page;mso-height-relative:page;" fillcolor="#FFFFFF" filled="t" stroked="f" coordsize="21600,21600">
            <v:path/>
            <v:fill on="t" color2="#FFFFFF" focussize="0,0"/>
            <v:stroke on="f"/>
            <v:imagedata o:title=""/>
            <o:lock v:ext="edit" aspectratio="f"/>
            <v:textbox>
              <w:txbxContent>
                <w:p>
                  <w:pPr>
                    <w:spacing w:line="240" w:lineRule="auto"/>
                    <w:rPr>
                      <w:rFonts w:hint="eastAsia" w:ascii="楷体" w:hAnsi="楷体" w:eastAsia="楷体" w:cs="楷体"/>
                      <w:sz w:val="32"/>
                      <w:szCs w:val="32"/>
                    </w:rPr>
                  </w:pPr>
                  <w:r>
                    <w:rPr>
                      <w:rFonts w:hint="eastAsia" w:ascii="楷体" w:hAnsi="楷体" w:eastAsia="楷体" w:cs="楷体"/>
                      <w:sz w:val="32"/>
                      <w:szCs w:val="32"/>
                    </w:rPr>
                    <w:t>发展，共推氢能完整产业链建设。</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捷氢科技总经理卢兵兵、副总经理程伟、业务规划&amp;项目管理总监余意，未势能源总裁陈雪松、未势能源副总裁兼上燃动力总经理王亚波、上燃动力副总经理吴兵、未势能源燃料电池系统总监崔天宇、长城氢能检测中心运营总监段志洁，出席签约仪式。捷氢科技总经理卢兵兵与未势能源总裁陈雪松，分别代表双方签约。</w:t>
                  </w:r>
                </w:p>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3.7 </w:t>
                  </w:r>
                  <w:r>
                    <w:rPr>
                      <w:rFonts w:hint="eastAsia" w:ascii="楷体" w:hAnsi="楷体" w:eastAsia="楷体" w:cs="楷体"/>
                      <w:b/>
                      <w:bCs/>
                      <w:sz w:val="32"/>
                      <w:szCs w:val="32"/>
                    </w:rPr>
                    <w:t>鸿达兴业：</w:t>
                  </w:r>
                  <w:r>
                    <w:rPr>
                      <w:rFonts w:hint="eastAsia" w:ascii="楷体" w:hAnsi="楷体" w:eastAsia="楷体" w:cs="楷体"/>
                      <w:sz w:val="32"/>
                      <w:szCs w:val="32"/>
                    </w:rPr>
                    <w:t>与内蒙古乌海公交公司签署燃料电池汽车供氢服务协议</w:t>
                  </w:r>
                </w:p>
                <w:p>
                  <w:pPr>
                    <w:spacing w:line="240" w:lineRule="auto"/>
                    <w:rPr>
                      <w:rFonts w:hint="eastAsia" w:ascii="楷体" w:hAnsi="楷体" w:eastAsia="楷体" w:cs="楷体"/>
                      <w:sz w:val="32"/>
                      <w:szCs w:val="32"/>
                    </w:rPr>
                  </w:pPr>
                  <w:r>
                    <w:rPr>
                      <w:rFonts w:hint="eastAsia" w:ascii="楷体" w:hAnsi="楷体" w:eastAsia="楷体" w:cs="楷体"/>
                      <w:sz w:val="32"/>
                      <w:szCs w:val="32"/>
                    </w:rPr>
                    <w:t>鸿达兴业全资子公司内蒙古乌海化工有限公司(“乌海化工”)与乌海市公共交通有限责任公司(“乌海公交公司”)签署《燃料电池汽车供氢服务协议》，乌海化工为乌海公交公司运行的燃料电池公交、大巴等用氢车辆提供氢气及加注服务，充分利用双方的资源和优势，共同致力于在乌海市开展氢能车推广及示范应用，推动乌海市氢能城市建设，共同助力氢能社会发展。</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lang w:val="en-US" w:eastAsia="zh-CN"/>
                    </w:rPr>
                  </w:pPr>
                  <w:r>
                    <w:rPr>
                      <w:rFonts w:hint="eastAsia" w:ascii="楷体" w:hAnsi="楷体" w:eastAsia="楷体" w:cs="楷体"/>
                      <w:b/>
                      <w:bCs/>
                      <w:sz w:val="32"/>
                      <w:szCs w:val="32"/>
                      <w:lang w:val="en-US" w:eastAsia="zh-CN"/>
                    </w:rPr>
                    <w:t>3.8 国家电投：</w:t>
                  </w:r>
                  <w:r>
                    <w:rPr>
                      <w:rFonts w:hint="eastAsia" w:ascii="楷体" w:hAnsi="楷体" w:eastAsia="楷体" w:cs="楷体"/>
                      <w:sz w:val="32"/>
                      <w:szCs w:val="32"/>
                    </w:rPr>
                    <w:t>发起增资项目，拟向原股东募集资金最低1亿元且不超过3亿元资金</w:t>
                  </w:r>
                </w:p>
                <w:p>
                  <w:pPr>
                    <w:spacing w:line="240" w:lineRule="auto"/>
                    <w:rPr>
                      <w:rFonts w:hint="eastAsia" w:ascii="楷体" w:hAnsi="楷体" w:eastAsia="楷体" w:cs="楷体"/>
                      <w:sz w:val="32"/>
                      <w:szCs w:val="32"/>
                    </w:rPr>
                  </w:pPr>
                  <w:r>
                    <w:rPr>
                      <w:rFonts w:hint="eastAsia" w:ascii="楷体" w:hAnsi="楷体" w:eastAsia="楷体" w:cs="楷体"/>
                      <w:sz w:val="32"/>
                      <w:szCs w:val="32"/>
                    </w:rPr>
                    <w:t>近日， 国家电投集团氢能科技发展有限公司发起增资项目，拟向原股东募集资金最低1亿元且不超过3亿元资金，主要用于氢燃料电池研发、中试及产业基地建设。</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本次增资完成后，原股东国家电力投资集团有限公司将持有35%股权，其他股东视本次增资结果确定。</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目前氢能公司股东为国家电力投资集团有限公司，占股35%；嘉兴氢合股权投资合伙企业（有限合伙）占股30；国家电投集团科学技术研究院有限公司占股28%；北京未来科学城产业发展有限公司占股7%。</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国家电投集团氢能科技发展有限公司旗下目前已有5家子公司，分</w:t>
                  </w: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r>
        <w:rPr>
          <w:sz w:val="19"/>
        </w:rPr>
        <w:pict>
          <v:shape id="_x0000_s3257" o:spid="_x0000_s3257" o:spt="202" type="#_x0000_t202" style="position:absolute;left:0pt;margin-left:41.9pt;margin-top:7.95pt;height:706.7pt;width:475.5pt;z-index:253099008;mso-width-relative:page;mso-height-relative:page;" fillcolor="#FFFFFF" filled="t" stroked="f" coordsize="21600,21600">
            <v:path/>
            <v:fill on="t" color2="#FFFFFF" focussize="0,0"/>
            <v:stroke on="f" joinstyle="miter"/>
            <v:imagedata o:title=""/>
            <o:lock v:ext="edit" aspectratio="f"/>
            <v:textbox>
              <w:txbxContent>
                <w:p>
                  <w:pPr>
                    <w:spacing w:line="240" w:lineRule="auto"/>
                    <w:rPr>
                      <w:rFonts w:hint="eastAsia" w:ascii="楷体" w:hAnsi="楷体" w:eastAsia="楷体" w:cs="楷体"/>
                      <w:sz w:val="32"/>
                      <w:szCs w:val="32"/>
                    </w:rPr>
                  </w:pPr>
                  <w:r>
                    <w:rPr>
                      <w:rFonts w:hint="eastAsia" w:ascii="楷体" w:hAnsi="楷体" w:eastAsia="楷体" w:cs="楷体"/>
                      <w:sz w:val="32"/>
                      <w:szCs w:val="32"/>
                    </w:rPr>
                    <w:t>别为：宁波绿动燃料电池有限公司，宁波绿动氢能科技研究院有限公司，宁波氢远能源材料有限公司，武汉绿动氢能能源技术有限公司，北京长青电投氢能产业投资中心（有限合伙）。</w:t>
                  </w:r>
                </w:p>
                <w:p>
                  <w:pPr>
                    <w:spacing w:line="240" w:lineRule="auto"/>
                    <w:rPr>
                      <w:rFonts w:hint="eastAsia" w:ascii="楷体" w:hAnsi="楷体" w:eastAsia="楷体" w:cs="楷体"/>
                      <w:sz w:val="32"/>
                      <w:szCs w:val="32"/>
                      <w:lang w:val="en-US" w:eastAsia="zh-CN"/>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3.9 壳牌：</w:t>
                  </w:r>
                  <w:r>
                    <w:rPr>
                      <w:rFonts w:hint="eastAsia" w:ascii="楷体" w:hAnsi="楷体" w:eastAsia="楷体" w:cs="楷体"/>
                      <w:sz w:val="32"/>
                      <w:szCs w:val="32"/>
                    </w:rPr>
                    <w:t>中国首个商业化氢能项目落户河北张家口市</w:t>
                  </w:r>
                </w:p>
                <w:p>
                  <w:pPr>
                    <w:spacing w:line="240" w:lineRule="auto"/>
                    <w:rPr>
                      <w:rFonts w:hint="eastAsia" w:ascii="楷体" w:hAnsi="楷体" w:eastAsia="楷体" w:cs="楷体"/>
                      <w:sz w:val="32"/>
                      <w:szCs w:val="32"/>
                    </w:rPr>
                  </w:pPr>
                  <w:r>
                    <w:rPr>
                      <w:rFonts w:hint="eastAsia" w:ascii="楷体" w:hAnsi="楷体" w:eastAsia="楷体" w:cs="楷体"/>
                      <w:sz w:val="32"/>
                      <w:szCs w:val="32"/>
                    </w:rPr>
                    <w:t>河北张家口市桥东区政府与张家口市交投壳牌新能源有限公司就氢能一体化示范基地建设项目签署合作协议。据悉，该项目包括氢气的生产、储存、运输、加注和应用，这也是荷兰壳牌在中国落地的第一个商业化的氢能项目。该项目建设总投资约5.8亿元，总占地面积100亩，建设内容包括1个制氢厂、3个加氢站。</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rPr>
                    <w:t>该项目将张家口丰富的可再生电力通过电解制备成绿色氢气，一期年产量近3000吨，可满足400多辆氢燃料电池公交车的需求。项目建成后，将有力推动地区氢能产业发展，也将为2022年冬奥会提供有力能源保障。项目的建设将成为张家口市氢能产业发展中又一个里程碑式的事件。</w:t>
                  </w:r>
                </w:p>
                <w:p>
                  <w:pPr>
                    <w:spacing w:line="240" w:lineRule="auto"/>
                    <w:rPr>
                      <w:rFonts w:hint="eastAsia" w:ascii="楷体" w:hAnsi="楷体" w:eastAsia="楷体" w:cs="楷体"/>
                      <w:i w:val="0"/>
                      <w:caps w:val="0"/>
                      <w:color w:val="333333"/>
                      <w:spacing w:val="15"/>
                      <w:sz w:val="32"/>
                      <w:szCs w:val="32"/>
                      <w:shd w:val="clear" w:fill="FFFFFF"/>
                      <w:lang w:val="en-US" w:eastAsia="zh-CN"/>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3.10 </w:t>
                  </w:r>
                  <w:r>
                    <w:rPr>
                      <w:rFonts w:hint="eastAsia" w:ascii="楷体" w:hAnsi="楷体" w:eastAsia="楷体" w:cs="楷体"/>
                      <w:b/>
                      <w:bCs/>
                      <w:sz w:val="32"/>
                      <w:szCs w:val="32"/>
                    </w:rPr>
                    <w:t>雄韬氢雄</w:t>
                  </w:r>
                  <w:r>
                    <w:rPr>
                      <w:rFonts w:hint="eastAsia" w:ascii="楷体" w:hAnsi="楷体" w:eastAsia="楷体" w:cs="楷体"/>
                      <w:b/>
                      <w:bCs/>
                      <w:sz w:val="32"/>
                      <w:szCs w:val="32"/>
                      <w:lang w:val="en-US" w:eastAsia="zh-CN"/>
                    </w:rPr>
                    <w:t>＆</w:t>
                  </w:r>
                  <w:r>
                    <w:rPr>
                      <w:rFonts w:hint="eastAsia" w:ascii="楷体" w:hAnsi="楷体" w:eastAsia="楷体" w:cs="楷体"/>
                      <w:b/>
                      <w:bCs/>
                      <w:sz w:val="32"/>
                      <w:szCs w:val="32"/>
                    </w:rPr>
                    <w:t>厦门金龙</w:t>
                  </w:r>
                  <w:r>
                    <w:rPr>
                      <w:rFonts w:hint="eastAsia" w:ascii="楷体" w:hAnsi="楷体" w:eastAsia="楷体" w:cs="楷体"/>
                      <w:b/>
                      <w:bCs/>
                      <w:sz w:val="32"/>
                      <w:szCs w:val="32"/>
                      <w:lang w:eastAsia="zh-CN"/>
                    </w:rPr>
                    <w:t>：</w:t>
                  </w:r>
                  <w:r>
                    <w:rPr>
                      <w:rFonts w:hint="eastAsia" w:ascii="楷体" w:hAnsi="楷体" w:eastAsia="楷体" w:cs="楷体"/>
                      <w:sz w:val="32"/>
                      <w:szCs w:val="32"/>
                    </w:rPr>
                    <w:t>30辆氢能公交正式交付湖北荆门</w:t>
                  </w:r>
                </w:p>
                <w:p>
                  <w:pPr>
                    <w:spacing w:line="240" w:lineRule="auto"/>
                    <w:rPr>
                      <w:rFonts w:hint="eastAsia" w:ascii="楷体" w:hAnsi="楷体" w:eastAsia="楷体" w:cs="楷体"/>
                      <w:sz w:val="32"/>
                      <w:szCs w:val="32"/>
                    </w:rPr>
                  </w:pPr>
                  <w:r>
                    <w:rPr>
                      <w:rFonts w:hint="eastAsia" w:ascii="楷体" w:hAnsi="楷体" w:eastAsia="楷体" w:cs="楷体"/>
                      <w:sz w:val="32"/>
                      <w:szCs w:val="32"/>
                    </w:rPr>
                    <w:t>11月10日，武汉雄韬氢雄联合厦门金龙生产的8.5米氢燃料电池公交车调试完毕，正式交付给荆门市京山公交公司。此批30辆氢燃料公交车将成为湖北省最大规模的氢燃料公交示范运营项目。以此为契机，荆门市京山市将在氢燃料电池公交示范运营的道路上迈出坚实的第一步，也将对氢能示范城市群申报工作产生积极作用。</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rPr>
                    <w:t>该批氢燃料公交车车型为厦门金龙联合汽车工业有限公司生产的XMQ6850AGFCEV3，武汉雄韬氢雄燃料电池科技有限公司自主研发的52kW燃料电池发动机提供动力。验车试驾过程中，车辆行驶噪音小，驾驶易操作，乘坐舒适性得到试乘试驾人员的一致好评。车辆加氢时间小于15分钟，续驶里程最高可达450公里，并可实现零下30℃环境下的正常运行。</w:t>
                  </w:r>
                </w:p>
                <w:p>
                  <w:pPr>
                    <w:spacing w:line="240" w:lineRule="auto"/>
                    <w:rPr>
                      <w:rFonts w:hint="eastAsia" w:ascii="楷体" w:hAnsi="楷体" w:eastAsia="楷体" w:cs="楷体"/>
                      <w:i w:val="0"/>
                      <w:caps w:val="0"/>
                      <w:color w:val="333333"/>
                      <w:spacing w:val="15"/>
                      <w:sz w:val="32"/>
                      <w:szCs w:val="32"/>
                      <w:shd w:val="clear" w:fill="FFFFFF"/>
                      <w:lang w:val="en-US" w:eastAsia="zh-CN"/>
                    </w:rPr>
                  </w:pPr>
                </w:p>
              </w:txbxContent>
            </v:textbox>
          </v:shape>
        </w:pict>
      </w: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pStyle w:val="4"/>
        <w:spacing w:before="10"/>
        <w:rPr>
          <w:sz w:val="19"/>
        </w:rPr>
      </w:pPr>
    </w:p>
    <w:p>
      <w:pPr>
        <w:spacing w:before="0" w:line="244" w:lineRule="exact"/>
        <w:ind w:right="0"/>
        <w:jc w:val="left"/>
        <w:rPr>
          <w:sz w:val="22"/>
        </w:rPr>
        <w:sectPr>
          <w:type w:val="continuous"/>
          <w:pgSz w:w="11910" w:h="16840"/>
          <w:pgMar w:top="440" w:right="0" w:bottom="1260" w:left="120" w:header="720" w:footer="720" w:gutter="0"/>
        </w:sectPr>
      </w:pPr>
    </w:p>
    <w:p>
      <w:pPr>
        <w:pStyle w:val="4"/>
        <w:rPr>
          <w:sz w:val="10"/>
        </w:rPr>
      </w:pPr>
    </w:p>
    <w:p>
      <w:pPr>
        <w:pStyle w:val="4"/>
        <w:spacing w:before="74"/>
        <w:ind w:right="1018"/>
        <w:jc w:val="right"/>
        <w:rPr>
          <w:rFonts w:ascii="Times New Roman" w:eastAsia="Times New Roman"/>
        </w:rPr>
      </w:pPr>
      <w:r>
        <w:rPr>
          <w:sz w:val="24"/>
        </w:rPr>
        <w:pict>
          <v:shape id="_x0000_s3258" o:spid="_x0000_s3258" o:spt="202" type="#_x0000_t202" style="position:absolute;left:0pt;margin-left:45pt;margin-top:10.55pt;height:701.3pt;width:480.8pt;z-index:253100032;mso-width-relative:page;mso-height-relative:page;" fillcolor="#FFFFFF" filled="t" stroked="f" coordsize="21600,21600">
            <v:path/>
            <v:fill on="t" color2="#FFFFFF" focussize="0,0"/>
            <v:stroke on="f"/>
            <v:imagedata o:title=""/>
            <o:lock v:ext="edit" aspectratio="f"/>
            <v:textbox>
              <w:txbxContent>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 xml:space="preserve">3.11 </w:t>
                  </w:r>
                  <w:r>
                    <w:rPr>
                      <w:rFonts w:hint="eastAsia" w:ascii="楷体" w:hAnsi="楷体" w:eastAsia="楷体" w:cs="楷体"/>
                      <w:b/>
                      <w:bCs/>
                      <w:sz w:val="32"/>
                      <w:szCs w:val="32"/>
                    </w:rPr>
                    <w:t>未势能源</w:t>
                  </w:r>
                  <w:r>
                    <w:rPr>
                      <w:rFonts w:hint="eastAsia" w:ascii="楷体" w:hAnsi="楷体" w:eastAsia="楷体" w:cs="楷体"/>
                      <w:b/>
                      <w:bCs/>
                      <w:sz w:val="32"/>
                      <w:szCs w:val="32"/>
                      <w:lang w:val="en-US" w:eastAsia="zh-CN"/>
                    </w:rPr>
                    <w:t>＆</w:t>
                  </w:r>
                  <w:r>
                    <w:rPr>
                      <w:rFonts w:hint="eastAsia" w:ascii="楷体" w:hAnsi="楷体" w:eastAsia="楷体" w:cs="楷体"/>
                      <w:b/>
                      <w:bCs/>
                      <w:sz w:val="32"/>
                      <w:szCs w:val="32"/>
                    </w:rPr>
                    <w:t>上燃动力</w:t>
                  </w:r>
                  <w:r>
                    <w:rPr>
                      <w:rFonts w:hint="eastAsia" w:ascii="楷体" w:hAnsi="楷体" w:eastAsia="楷体" w:cs="楷体"/>
                      <w:b/>
                      <w:bCs/>
                      <w:sz w:val="32"/>
                      <w:szCs w:val="32"/>
                      <w:lang w:val="en-US" w:eastAsia="zh-CN"/>
                    </w:rPr>
                    <w:t>＆</w:t>
                  </w:r>
                  <w:r>
                    <w:rPr>
                      <w:rFonts w:hint="eastAsia" w:ascii="楷体" w:hAnsi="楷体" w:eastAsia="楷体" w:cs="楷体"/>
                      <w:b/>
                      <w:bCs/>
                      <w:sz w:val="32"/>
                      <w:szCs w:val="32"/>
                    </w:rPr>
                    <w:t>开沃汽车</w:t>
                  </w:r>
                  <w:r>
                    <w:rPr>
                      <w:rFonts w:hint="eastAsia" w:ascii="楷体" w:hAnsi="楷体" w:eastAsia="楷体" w:cs="楷体"/>
                      <w:b/>
                      <w:bCs/>
                      <w:sz w:val="32"/>
                      <w:szCs w:val="32"/>
                      <w:lang w:eastAsia="zh-CN"/>
                    </w:rPr>
                    <w:t>：</w:t>
                  </w:r>
                  <w:r>
                    <w:rPr>
                      <w:rFonts w:hint="eastAsia" w:ascii="楷体" w:hAnsi="楷体" w:eastAsia="楷体" w:cs="楷体"/>
                      <w:sz w:val="32"/>
                      <w:szCs w:val="32"/>
                    </w:rPr>
                    <w:t>签署战略合作协议</w:t>
                  </w:r>
                </w:p>
                <w:p>
                  <w:pPr>
                    <w:spacing w:line="240" w:lineRule="auto"/>
                    <w:rPr>
                      <w:rFonts w:hint="eastAsia" w:ascii="楷体" w:hAnsi="楷体" w:eastAsia="楷体" w:cs="楷体"/>
                      <w:sz w:val="32"/>
                      <w:szCs w:val="32"/>
                    </w:rPr>
                  </w:pPr>
                  <w:r>
                    <w:rPr>
                      <w:rFonts w:hint="eastAsia" w:ascii="楷体" w:hAnsi="楷体" w:eastAsia="楷体" w:cs="楷体"/>
                      <w:sz w:val="32"/>
                      <w:szCs w:val="32"/>
                    </w:rPr>
                    <w:t>未势能源科技有限公司及旗下上海燃料电池汽车动力系统有限公司，与开沃新能源汽车集团有限公司在南京举行战略合作签约仪式，三方将建立长期战略合作关系，共同推进氢能产业链建设，助力氢燃料电池汽车示范城市群产业协同发展。</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根据协议内容，三方将通过互相提供先进产品、技术和服务，共享市场机遇，共建运营场景，共同培育国内外创新领先、具有显著社会意义和商业价值的燃料电池汽车示范应用，引领燃料电池汽车产业发展。</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除此之外，三方将在氢能与燃料电池相关产业重点合作领域开展业务合作，通过不定期举办技术及服务交流会议、市场信息对接会议，促进氢能与燃料电池汽车产业发展进程，分享技术经验及产业发展趋势判断，并在市场应用端协同快速反应，在探索氢能与燃料电池商业化模式生态建设方面开展深度合作。</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与此同时，双方将在各地申请燃料电池汽车示范试点城市进程中，为促进各自所在城市地方政府组群申报起到桥梁和纽带的作用，助力国家“十城千辆”燃料电池汽车示范项目运行。</w:t>
                  </w:r>
                </w:p>
                <w:p>
                  <w:pPr>
                    <w:spacing w:line="240" w:lineRule="auto"/>
                    <w:rPr>
                      <w:rFonts w:hint="eastAsia" w:ascii="楷体" w:hAnsi="楷体" w:eastAsia="楷体" w:cs="楷体"/>
                      <w:sz w:val="32"/>
                      <w:szCs w:val="32"/>
                    </w:rPr>
                  </w:pPr>
                </w:p>
                <w:p>
                  <w:pPr>
                    <w:spacing w:line="240" w:lineRule="auto"/>
                    <w:rPr>
                      <w:rFonts w:hint="eastAsia" w:ascii="楷体" w:hAnsi="楷体" w:eastAsia="楷体" w:cs="楷体"/>
                      <w:sz w:val="32"/>
                      <w:szCs w:val="32"/>
                    </w:rPr>
                  </w:pPr>
                  <w:r>
                    <w:rPr>
                      <w:rFonts w:hint="eastAsia" w:ascii="楷体" w:hAnsi="楷体" w:eastAsia="楷体" w:cs="楷体"/>
                      <w:sz w:val="32"/>
                      <w:szCs w:val="32"/>
                    </w:rPr>
                    <w:t>同时，重点结合南京市及溧水区的氢能产业规划目标，加快市场运营场景、运营保障能力的规划建设，从市场需求出发推进整车产品的定型、交付及售后保障等基础能力建设，促进燃料电池动力系统的配套保障能力，在公交客运车辆、重型载重卡车、轻型厢式货车等车型平台合作开发，向市场提供符合运营场景需求的燃料电池车型，用产品力在示范期内创造示范运营佳绩。</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rPr>
                  </w:pPr>
                  <w:r>
                    <w:rPr>
                      <w:rFonts w:hint="eastAsia" w:ascii="楷体" w:hAnsi="楷体" w:eastAsia="楷体" w:cs="楷体"/>
                      <w:b/>
                      <w:bCs/>
                      <w:sz w:val="32"/>
                      <w:szCs w:val="32"/>
                      <w:lang w:val="en-US" w:eastAsia="zh-CN"/>
                    </w:rPr>
                    <w:t>3.12：</w:t>
                  </w:r>
                  <w:r>
                    <w:rPr>
                      <w:rFonts w:hint="eastAsia" w:ascii="楷体" w:hAnsi="楷体" w:eastAsia="楷体" w:cs="楷体"/>
                      <w:b/>
                      <w:bCs/>
                      <w:sz w:val="32"/>
                      <w:szCs w:val="32"/>
                    </w:rPr>
                    <w:t>北汽福田</w:t>
                  </w:r>
                  <w:r>
                    <w:rPr>
                      <w:rFonts w:hint="eastAsia" w:ascii="楷体" w:hAnsi="楷体" w:eastAsia="楷体" w:cs="楷体"/>
                      <w:b/>
                      <w:bCs/>
                      <w:sz w:val="32"/>
                      <w:szCs w:val="32"/>
                      <w:lang w:eastAsia="zh-CN"/>
                    </w:rPr>
                    <w:t>：</w:t>
                  </w:r>
                  <w:r>
                    <w:rPr>
                      <w:rFonts w:hint="eastAsia" w:ascii="楷体" w:hAnsi="楷体" w:eastAsia="楷体" w:cs="楷体"/>
                      <w:sz w:val="32"/>
                      <w:szCs w:val="32"/>
                      <w:lang w:val="en-US" w:eastAsia="zh-CN"/>
                    </w:rPr>
                    <w:t>与</w:t>
                  </w:r>
                  <w:r>
                    <w:rPr>
                      <w:rFonts w:hint="eastAsia" w:ascii="楷体" w:hAnsi="楷体" w:eastAsia="楷体" w:cs="楷体"/>
                      <w:sz w:val="32"/>
                      <w:szCs w:val="32"/>
                    </w:rPr>
                    <w:t>上海轻程</w:t>
                  </w:r>
                  <w:r>
                    <w:rPr>
                      <w:rFonts w:hint="eastAsia" w:ascii="楷体" w:hAnsi="楷体" w:eastAsia="楷体" w:cs="楷体"/>
                      <w:sz w:val="32"/>
                      <w:szCs w:val="32"/>
                      <w:lang w:val="en-US" w:eastAsia="zh-CN"/>
                    </w:rPr>
                    <w:t>签约落地</w:t>
                  </w:r>
                  <w:r>
                    <w:rPr>
                      <w:rFonts w:hint="eastAsia" w:ascii="楷体" w:hAnsi="楷体" w:eastAsia="楷体" w:cs="楷体"/>
                      <w:sz w:val="32"/>
                      <w:szCs w:val="32"/>
                    </w:rPr>
                    <w:t>百台智蓝氢燃料重卡</w:t>
                  </w:r>
                </w:p>
                <w:p>
                  <w:pPr>
                    <w:spacing w:line="240" w:lineRule="auto"/>
                    <w:rPr>
                      <w:rFonts w:hint="eastAsia" w:ascii="楷体" w:hAnsi="楷体" w:eastAsia="楷体" w:cs="楷体"/>
                      <w:sz w:val="32"/>
                      <w:szCs w:val="32"/>
                    </w:rPr>
                  </w:pPr>
                  <w:r>
                    <w:rPr>
                      <w:rFonts w:hint="eastAsia" w:ascii="楷体" w:hAnsi="楷体" w:eastAsia="楷体" w:cs="楷体"/>
                      <w:sz w:val="32"/>
                      <w:szCs w:val="32"/>
                    </w:rPr>
                    <w:t>11月13日，我会会员企业北汽福田汽车股份有限公司在京举行“北汽福田&amp;上海轻程战略合作暨100台智蓝氢燃料重卡项目签约仪式”</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rPr>
                    <w:t>这标志着福田汽车继今年9月份发布氢燃料汽车发展战略后，在氢</w:t>
                  </w:r>
                </w:p>
              </w:txbxContent>
            </v:textbox>
          </v:shape>
        </w:pict>
      </w: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r>
        <w:rPr>
          <w:sz w:val="24"/>
        </w:rPr>
        <w:pict>
          <v:shape id="_x0000_s3259" o:spid="_x0000_s3259" o:spt="202" type="#_x0000_t202" style="position:absolute;left:0pt;margin-left:44.3pt;margin-top:13.45pt;height:711.9pt;width:488.2pt;z-index:253101056;mso-width-relative:page;mso-height-relative:page;" fillcolor="#FFFFFF" filled="t" stroked="f" coordsize="21600,21600">
            <v:path/>
            <v:fill on="t" color2="#FFFFFF" focussize="0,0"/>
            <v:stroke on="f" joinstyle="miter"/>
            <v:imagedata o:title=""/>
            <o:lock v:ext="edit" aspectratio="f"/>
            <v:textbox>
              <w:txbxContent>
                <w:p>
                  <w:pPr>
                    <w:spacing w:line="240" w:lineRule="auto"/>
                    <w:rPr>
                      <w:rFonts w:hint="eastAsia" w:ascii="楷体" w:hAnsi="楷体" w:eastAsia="楷体" w:cs="楷体"/>
                      <w:sz w:val="32"/>
                      <w:szCs w:val="32"/>
                    </w:rPr>
                  </w:pPr>
                  <w:r>
                    <w:rPr>
                      <w:rFonts w:hint="eastAsia" w:ascii="楷体" w:hAnsi="楷体" w:eastAsia="楷体" w:cs="楷体"/>
                      <w:sz w:val="32"/>
                      <w:szCs w:val="32"/>
                      <w:lang w:val="en-US" w:eastAsia="zh-CN"/>
                    </w:rPr>
                    <w:t>能</w:t>
                  </w:r>
                  <w:r>
                    <w:rPr>
                      <w:rFonts w:hint="eastAsia" w:ascii="楷体" w:hAnsi="楷体" w:eastAsia="楷体" w:cs="楷体"/>
                      <w:sz w:val="32"/>
                      <w:szCs w:val="32"/>
                    </w:rPr>
                    <w:t>战略落地上迈出愈加坚实的一步。据悉，该批智蓝氢燃料重卡将于明年2月底陆续交付运营。</w:t>
                  </w:r>
                </w:p>
                <w:p>
                  <w:pPr>
                    <w:spacing w:line="240" w:lineRule="auto"/>
                    <w:rPr>
                      <w:rFonts w:hint="eastAsia" w:ascii="楷体" w:hAnsi="楷体" w:eastAsia="楷体" w:cs="楷体"/>
                      <w:sz w:val="32"/>
                      <w:szCs w:val="32"/>
                    </w:rPr>
                  </w:pPr>
                </w:p>
                <w:p>
                  <w:pPr>
                    <w:spacing w:line="360" w:lineRule="auto"/>
                    <w:rPr>
                      <w:rFonts w:hint="eastAsia" w:ascii="楷体" w:hAnsi="楷体" w:eastAsia="楷体" w:cs="楷体"/>
                      <w:sz w:val="32"/>
                      <w:szCs w:val="32"/>
                      <w:lang w:val="en-US" w:eastAsia="zh-CN"/>
                    </w:rPr>
                  </w:pPr>
                  <w:r>
                    <w:rPr>
                      <w:rFonts w:hint="eastAsia" w:ascii="楷体" w:hAnsi="楷体" w:eastAsia="楷体" w:cs="楷体"/>
                      <w:b/>
                      <w:bCs/>
                      <w:sz w:val="32"/>
                      <w:szCs w:val="32"/>
                      <w:lang w:val="en-US" w:eastAsia="zh-CN"/>
                    </w:rPr>
                    <w:t>3.13 旭阳中燃：</w:t>
                  </w:r>
                  <w:r>
                    <w:rPr>
                      <w:rFonts w:hint="eastAsia" w:ascii="楷体" w:hAnsi="楷体" w:eastAsia="楷体" w:cs="楷体"/>
                      <w:sz w:val="32"/>
                      <w:szCs w:val="32"/>
                      <w:lang w:val="en-US" w:eastAsia="zh-CN"/>
                    </w:rPr>
                    <w:t>内蒙古清水河县政府签订氢能产业发展战略合作框架协议</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11月10日，在鄂尔多斯举办的内蒙古氢能产业发展大会上，中国旭阳集团有限公司所属旭阳中燃能源有限公司（简称“旭阳中燃”）与内蒙古呼和浩特市清水河县人民政府签订氢能产业发展战略合作框架协议。</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据悉，旭阳中燃在现有产能规模下，最大可生产氢气约2.7亿Nm/年（约2.4万吨），可为约65座加氢站提供氢能。预计到2023年公司新项目建成投产后，将形成12亿Nm/年氢能生产能力。这必将为呼和浩特市打造新型氢能城市做出突出贡献，也将为旭阳集团打造“世界领先的能源化工公司”，贯彻落实氢能产业发展“三步走”战略奠定坚实基础。</w:t>
                  </w:r>
                </w:p>
                <w:p>
                  <w:pPr>
                    <w:spacing w:line="240" w:lineRule="auto"/>
                    <w:rPr>
                      <w:rFonts w:hint="eastAsia" w:ascii="楷体" w:hAnsi="楷体" w:eastAsia="楷体" w:cs="楷体"/>
                      <w:sz w:val="32"/>
                      <w:szCs w:val="32"/>
                      <w:lang w:val="en-US" w:eastAsia="zh-CN"/>
                    </w:rPr>
                  </w:pPr>
                </w:p>
                <w:p>
                  <w:pPr>
                    <w:spacing w:line="360" w:lineRule="auto"/>
                    <w:rPr>
                      <w:rFonts w:hint="eastAsia" w:ascii="楷体" w:hAnsi="楷体" w:eastAsia="楷体" w:cs="楷体"/>
                      <w:sz w:val="32"/>
                      <w:szCs w:val="32"/>
                      <w:lang w:val="en-US" w:eastAsia="zh-CN"/>
                    </w:rPr>
                  </w:pPr>
                  <w:r>
                    <w:rPr>
                      <w:rFonts w:hint="eastAsia" w:ascii="楷体" w:hAnsi="楷体" w:eastAsia="楷体" w:cs="楷体"/>
                      <w:b/>
                      <w:bCs/>
                      <w:sz w:val="32"/>
                      <w:szCs w:val="32"/>
                      <w:lang w:val="en-US" w:eastAsia="zh-CN"/>
                    </w:rPr>
                    <w:t>3.14 上海电气＆京能电力：</w:t>
                  </w:r>
                  <w:r>
                    <w:rPr>
                      <w:rFonts w:hint="eastAsia" w:ascii="楷体" w:hAnsi="楷体" w:eastAsia="楷体" w:cs="楷体"/>
                      <w:sz w:val="32"/>
                      <w:szCs w:val="32"/>
                      <w:lang w:val="en-US" w:eastAsia="zh-CN"/>
                    </w:rPr>
                    <w:t>宁夏宁东管委会签订氢能战略合作</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11月9日，宁东基地氢能产业与能源转型发展论坛在宁夏宁东能源化工基地管委会召开，上海电气电站集团作为氢能及综合能源优秀企业受邀出席。</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论坛上，上海电气电站集团与京能电力、宁东管委会签订三方战略合作协议。协议明确，三方将以氢能全产业链先进技术为依托，以体制机制创新为支撑，展开全方位合作，推动布局一批具有引领作用的绿氢综合能源产业示范项目。</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重点包括：</w:t>
                  </w:r>
                </w:p>
                <w:p>
                  <w:pPr>
                    <w:spacing w:line="240" w:lineRule="auto"/>
                    <w:rPr>
                      <w:rFonts w:hint="eastAsia" w:ascii="楷体" w:hAnsi="楷体" w:eastAsia="楷体" w:cs="楷体"/>
                      <w:sz w:val="32"/>
                      <w:szCs w:val="32"/>
                      <w:lang w:val="en-US" w:eastAsia="zh-CN"/>
                    </w:rPr>
                  </w:pPr>
                </w:p>
                <w:p>
                  <w:pPr>
                    <w:spacing w:line="240" w:lineRule="auto"/>
                    <w:ind w:firstLine="640" w:firstLineChars="200"/>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◆氢能制储加一体化+化工园区及氢燃料重卡应用示范项目</w:t>
                  </w:r>
                </w:p>
                <w:p>
                  <w:pPr>
                    <w:spacing w:line="240" w:lineRule="auto"/>
                    <w:ind w:firstLine="640" w:firstLineChars="200"/>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◆宁东能源基地“源网荷储氢”一体化示范项目</w:t>
                  </w:r>
                </w:p>
                <w:p>
                  <w:pPr>
                    <w:spacing w:line="240" w:lineRule="auto"/>
                    <w:ind w:firstLine="640" w:firstLineChars="200"/>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◆宁东能源基地智慧综合能源建设项目</w:t>
                  </w:r>
                </w:p>
                <w:p>
                  <w:pPr>
                    <w:spacing w:line="240" w:lineRule="auto"/>
                    <w:rPr>
                      <w:rFonts w:hint="eastAsia" w:ascii="楷体" w:hAnsi="楷体" w:eastAsia="楷体" w:cs="楷体"/>
                      <w:sz w:val="32"/>
                      <w:szCs w:val="32"/>
                      <w:lang w:val="en-US" w:eastAsia="zh-CN"/>
                    </w:rPr>
                  </w:pPr>
                </w:p>
                <w:p>
                  <w:pPr>
                    <w:numPr>
                      <w:ilvl w:val="0"/>
                      <w:numId w:val="0"/>
                    </w:numPr>
                    <w:ind w:leftChars="0" w:right="0" w:rightChars="0"/>
                    <w:rPr>
                      <w:rFonts w:hint="default"/>
                      <w:b/>
                      <w:bCs/>
                      <w:lang w:val="en-US" w:eastAsia="zh-CN"/>
                    </w:rPr>
                  </w:pPr>
                </w:p>
                <w:p>
                  <w:pPr>
                    <w:rPr>
                      <w:rFonts w:hint="default"/>
                      <w:b/>
                      <w:bCs/>
                      <w:lang w:val="en-US" w:eastAsia="zh-CN"/>
                    </w:rPr>
                  </w:pPr>
                </w:p>
                <w:p>
                  <w:pPr>
                    <w:rPr>
                      <w:rFonts w:hint="default"/>
                      <w:b/>
                      <w:bCs/>
                      <w:lang w:val="en-US" w:eastAsia="zh-CN"/>
                    </w:rPr>
                  </w:pPr>
                </w:p>
              </w:txbxContent>
            </v:textbox>
          </v:shape>
        </w:pict>
      </w: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r>
        <w:rPr>
          <w:sz w:val="24"/>
        </w:rPr>
        <w:pict>
          <v:shape id="_x0000_s3260" o:spid="_x0000_s3260" o:spt="202" type="#_x0000_t202" style="position:absolute;left:0pt;margin-left:41.9pt;margin-top:11.55pt;height:692.5pt;width:492.5pt;z-index:253094912;mso-width-relative:page;mso-height-relative:page;" fillcolor="#FFFFFF" filled="t" stroked="f" coordsize="21600,21600">
            <v:path/>
            <v:fill on="t" color2="#FFFFFF" focussize="0,0"/>
            <v:stroke on="f"/>
            <v:imagedata o:title=""/>
            <o:lock v:ext="edit" aspectratio="f"/>
            <v:textbox>
              <w:txbxContent>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会上，上海电气电站集团交流讨论了电解水制氢发展规划、技术路线、应用场景、合作模式等，受到与会专家高度肯定。</w:t>
                  </w:r>
                </w:p>
                <w:p>
                  <w:pPr>
                    <w:spacing w:line="240" w:lineRule="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上海电气电站集团相关负责人表示，电站集团将通过三方合作，为宁东基地、黄河流域打造“可再生能源发电+煤电调峰+电化学储能+蓄热+电解水制氢+绿色化工”的示范工程，抢占技术与产业制高点。</w:t>
                  </w:r>
                </w:p>
                <w:p>
                  <w:pPr>
                    <w:spacing w:line="240" w:lineRule="auto"/>
                    <w:rPr>
                      <w:rFonts w:hint="eastAsia" w:ascii="楷体" w:hAnsi="楷体" w:eastAsia="楷体" w:cs="楷体"/>
                      <w:sz w:val="32"/>
                      <w:szCs w:val="32"/>
                      <w:lang w:val="en-US" w:eastAsia="zh-CN"/>
                    </w:rPr>
                  </w:pPr>
                </w:p>
                <w:p>
                  <w:pPr>
                    <w:numPr>
                      <w:ilvl w:val="0"/>
                      <w:numId w:val="2"/>
                    </w:numPr>
                    <w:ind w:left="0" w:leftChars="0" w:firstLine="0" w:firstLineChars="0"/>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国内外加氢站分布图</w:t>
                  </w:r>
                </w:p>
                <w:p>
                  <w:pPr>
                    <w:spacing w:line="240" w:lineRule="auto"/>
                    <w:rPr>
                      <w:rFonts w:hint="eastAsia" w:ascii="楷体" w:hAnsi="楷体" w:eastAsia="楷体" w:cs="楷体"/>
                      <w:sz w:val="32"/>
                      <w:szCs w:val="32"/>
                      <w:lang w:val="en-US" w:eastAsia="zh-CN"/>
                    </w:rPr>
                  </w:pPr>
                </w:p>
                <w:p>
                  <w:pPr>
                    <w:spacing w:line="240" w:lineRule="auto"/>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图五：国内加氢站分布图</w:t>
                  </w:r>
                </w:p>
                <w:p>
                  <w:pPr>
                    <w:spacing w:line="240" w:lineRule="auto"/>
                    <w:rPr>
                      <w:rFonts w:hint="eastAsia" w:ascii="楷体" w:hAnsi="楷体" w:eastAsia="楷体" w:cs="楷体"/>
                      <w:sz w:val="30"/>
                      <w:szCs w:val="30"/>
                      <w:lang w:val="en-US" w:eastAsia="zh-CN"/>
                    </w:rPr>
                  </w:pPr>
                </w:p>
                <w:p>
                  <w:pPr>
                    <w:jc w:val="center"/>
                    <w:rPr>
                      <w:rFonts w:hint="eastAsia" w:ascii="楷体" w:hAnsi="楷体" w:eastAsia="楷体" w:cs="楷体"/>
                      <w:sz w:val="30"/>
                      <w:szCs w:val="30"/>
                      <w:lang w:val="en-US" w:eastAsia="zh-CN"/>
                    </w:rPr>
                  </w:pPr>
                  <w:r>
                    <w:rPr>
                      <w:rFonts w:hint="default" w:eastAsia="新宋体"/>
                      <w:lang w:val="en-US" w:eastAsia="zh-CN"/>
                    </w:rPr>
                    <w:drawing>
                      <wp:inline distT="0" distB="0" distL="114300" distR="114300">
                        <wp:extent cx="6043295" cy="3814445"/>
                        <wp:effectExtent l="0" t="0" r="14605" b="14605"/>
                        <wp:docPr id="9" name="图片 9" descr="国内加氢站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国内加氢站分布图"/>
                                <pic:cNvPicPr>
                                  <a:picLocks noChangeAspect="1"/>
                                </pic:cNvPicPr>
                              </pic:nvPicPr>
                              <pic:blipFill>
                                <a:blip r:embed="rId17"/>
                                <a:stretch>
                                  <a:fillRect/>
                                </a:stretch>
                              </pic:blipFill>
                              <pic:spPr>
                                <a:xfrm>
                                  <a:off x="0" y="0"/>
                                  <a:ext cx="6043295" cy="3814445"/>
                                </a:xfrm>
                                <a:prstGeom prst="rect">
                                  <a:avLst/>
                                </a:prstGeom>
                              </pic:spPr>
                            </pic:pic>
                          </a:graphicData>
                        </a:graphic>
                      </wp:inline>
                    </w:drawing>
                  </w:r>
                </w:p>
                <w:p>
                  <w:pPr>
                    <w:jc w:val="right"/>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t>数据来源：h2stations、氢能俱乐部</w:t>
                  </w:r>
                </w:p>
              </w:txbxContent>
            </v:textbox>
          </v:shape>
        </w:pict>
      </w: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r>
        <w:rPr>
          <w:sz w:val="24"/>
        </w:rPr>
        <w:pict>
          <v:shape id="_x0000_s3261" o:spid="_x0000_s3261" o:spt="202" type="#_x0000_t202" style="position:absolute;left:0pt;margin-left:44.25pt;margin-top:9.95pt;height:686pt;width:491.8pt;z-index:253094912;mso-width-relative:page;mso-height-relative:page;" fillcolor="#FFFFFF" filled="t" stroked="f" coordsize="21600,21600">
            <v:path/>
            <v:fill on="t" color2="#FFFFFF" focussize="0,0"/>
            <v:stroke on="f"/>
            <v:imagedata o:title=""/>
            <o:lock v:ext="edit" aspectratio="f"/>
            <v:textbox>
              <w:txbxContent>
                <w:p>
                  <w:pPr>
                    <w:numPr>
                      <w:ilvl w:val="0"/>
                      <w:numId w:val="0"/>
                    </w:numPr>
                    <w:ind w:leftChars="0" w:right="0" w:rightChars="0"/>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图六：全球加氢站分布图</w:t>
                  </w: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r>
                    <w:rPr>
                      <w:rFonts w:hint="default"/>
                      <w:lang w:val="en-US" w:eastAsia="zh-CN"/>
                    </w:rPr>
                    <w:drawing>
                      <wp:inline distT="0" distB="0" distL="114300" distR="114300">
                        <wp:extent cx="6037580" cy="3425190"/>
                        <wp:effectExtent l="0" t="0" r="1270" b="3810"/>
                        <wp:docPr id="14" name="图片 14" descr="微信截图_2020111515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01115153309"/>
                                <pic:cNvPicPr>
                                  <a:picLocks noChangeAspect="1"/>
                                </pic:cNvPicPr>
                              </pic:nvPicPr>
                              <pic:blipFill>
                                <a:blip r:embed="rId18"/>
                                <a:stretch>
                                  <a:fillRect/>
                                </a:stretch>
                              </pic:blipFill>
                              <pic:spPr>
                                <a:xfrm>
                                  <a:off x="0" y="0"/>
                                  <a:ext cx="6037580" cy="3425190"/>
                                </a:xfrm>
                                <a:prstGeom prst="rect">
                                  <a:avLst/>
                                </a:prstGeom>
                              </pic:spPr>
                            </pic:pic>
                          </a:graphicData>
                        </a:graphic>
                      </wp:inline>
                    </w:drawing>
                  </w:r>
                </w:p>
                <w:p>
                  <w:pPr>
                    <w:numPr>
                      <w:ilvl w:val="0"/>
                      <w:numId w:val="0"/>
                    </w:numPr>
                    <w:ind w:leftChars="0" w:right="0" w:rightChars="0"/>
                    <w:jc w:val="right"/>
                    <w:rPr>
                      <w:rFonts w:hint="default" w:ascii="楷体" w:hAnsi="楷体" w:eastAsia="楷体" w:cs="楷体"/>
                      <w:b/>
                      <w:bCs/>
                      <w:sz w:val="28"/>
                      <w:szCs w:val="28"/>
                      <w:lang w:val="en-US" w:eastAsia="zh-CN"/>
                    </w:rPr>
                  </w:pPr>
                  <w:r>
                    <w:rPr>
                      <w:rFonts w:hint="eastAsia" w:ascii="楷体" w:hAnsi="楷体" w:eastAsia="楷体" w:cs="楷体"/>
                      <w:sz w:val="21"/>
                      <w:szCs w:val="21"/>
                      <w:lang w:val="en-US" w:eastAsia="zh-CN"/>
                    </w:rPr>
                    <w:t>数据来源：h2stations、氢能俱乐部</w:t>
                  </w:r>
                </w:p>
                <w:p>
                  <w:pPr>
                    <w:numPr>
                      <w:ilvl w:val="0"/>
                      <w:numId w:val="0"/>
                    </w:numPr>
                    <w:ind w:leftChars="0" w:right="0" w:rightChars="0"/>
                    <w:jc w:val="left"/>
                    <w:rPr>
                      <w:rFonts w:hint="eastAsia" w:ascii="楷体" w:hAnsi="楷体" w:eastAsia="楷体" w:cs="楷体"/>
                      <w:b/>
                      <w:bCs/>
                      <w:sz w:val="36"/>
                      <w:szCs w:val="36"/>
                      <w:lang w:val="en-US" w:eastAsia="zh-CN"/>
                    </w:rPr>
                  </w:pPr>
                </w:p>
                <w:p>
                  <w:pPr>
                    <w:numPr>
                      <w:ilvl w:val="0"/>
                      <w:numId w:val="2"/>
                    </w:numPr>
                    <w:ind w:left="0" w:leftChars="0" w:right="0" w:rightChars="0" w:firstLine="0" w:firstLineChars="0"/>
                    <w:jc w:val="left"/>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氢能源板块累计跌涨幅及现价</w:t>
                  </w:r>
                </w:p>
                <w:p>
                  <w:pPr>
                    <w:numPr>
                      <w:ilvl w:val="0"/>
                      <w:numId w:val="0"/>
                    </w:numPr>
                    <w:ind w:leftChars="0" w:right="0" w:rightChars="0"/>
                    <w:jc w:val="left"/>
                    <w:rPr>
                      <w:rFonts w:hint="eastAsia" w:ascii="楷体" w:hAnsi="楷体" w:eastAsia="楷体" w:cs="楷体"/>
                      <w:b/>
                      <w:bCs/>
                      <w:sz w:val="36"/>
                      <w:szCs w:val="36"/>
                      <w:lang w:val="en-US" w:eastAsia="zh-CN"/>
                    </w:rPr>
                  </w:pPr>
                </w:p>
                <w:p>
                  <w:pPr>
                    <w:numPr>
                      <w:ilvl w:val="0"/>
                      <w:numId w:val="0"/>
                    </w:numPr>
                    <w:ind w:leftChars="0" w:right="0" w:rightChars="0" w:firstLine="320" w:firstLineChars="100"/>
                    <w:jc w:val="left"/>
                    <w:rPr>
                      <w:rFonts w:hint="default" w:ascii="楷体" w:hAnsi="楷体" w:eastAsia="楷体" w:cs="楷体"/>
                      <w:b w:val="0"/>
                      <w:bCs w:val="0"/>
                      <w:sz w:val="32"/>
                      <w:szCs w:val="32"/>
                      <w:lang w:val="en-US" w:eastAsia="zh-CN"/>
                    </w:rPr>
                  </w:pPr>
                  <w:r>
                    <w:rPr>
                      <w:rFonts w:hint="eastAsia" w:ascii="楷体" w:hAnsi="楷体" w:eastAsia="楷体" w:cs="楷体"/>
                      <w:b w:val="0"/>
                      <w:bCs w:val="0"/>
                      <w:sz w:val="32"/>
                      <w:szCs w:val="32"/>
                      <w:lang w:val="en-US" w:eastAsia="zh-CN"/>
                    </w:rPr>
                    <w:t>图七：氢能板块跌涨幅走势图</w:t>
                  </w:r>
                </w:p>
                <w:p>
                  <w:pPr>
                    <w:numPr>
                      <w:ilvl w:val="0"/>
                      <w:numId w:val="0"/>
                    </w:numPr>
                    <w:ind w:leftChars="0" w:right="0" w:rightChars="0"/>
                    <w:jc w:val="left"/>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drawing>
                      <wp:inline distT="0" distB="0" distL="114300" distR="114300">
                        <wp:extent cx="6402070" cy="2791460"/>
                        <wp:effectExtent l="0" t="0" r="17780" b="8890"/>
                        <wp:docPr id="1" name="图片 1" descr="微信截图_2020111419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01114195458"/>
                                <pic:cNvPicPr>
                                  <a:picLocks noChangeAspect="1"/>
                                </pic:cNvPicPr>
                              </pic:nvPicPr>
                              <pic:blipFill>
                                <a:blip r:embed="rId19"/>
                                <a:stretch>
                                  <a:fillRect/>
                                </a:stretch>
                              </pic:blipFill>
                              <pic:spPr>
                                <a:xfrm>
                                  <a:off x="0" y="0"/>
                                  <a:ext cx="6402070" cy="2791460"/>
                                </a:xfrm>
                                <a:prstGeom prst="rect">
                                  <a:avLst/>
                                </a:prstGeom>
                              </pic:spPr>
                            </pic:pic>
                          </a:graphicData>
                        </a:graphic>
                      </wp:inline>
                    </w:drawing>
                  </w:r>
                </w:p>
                <w:p>
                  <w:pPr>
                    <w:numPr>
                      <w:ilvl w:val="0"/>
                      <w:numId w:val="0"/>
                    </w:numPr>
                    <w:ind w:leftChars="0" w:right="0" w:rightChars="0"/>
                    <w:jc w:val="right"/>
                    <w:rPr>
                      <w:rFonts w:hint="eastAsia" w:ascii="楷体" w:hAnsi="楷体" w:eastAsia="楷体" w:cs="楷体"/>
                      <w:b w:val="0"/>
                      <w:bCs w:val="0"/>
                      <w:sz w:val="21"/>
                      <w:szCs w:val="21"/>
                      <w:lang w:val="en-US" w:eastAsia="zh-CN"/>
                    </w:rPr>
                  </w:pPr>
                </w:p>
                <w:p>
                  <w:pPr>
                    <w:numPr>
                      <w:ilvl w:val="0"/>
                      <w:numId w:val="0"/>
                    </w:numPr>
                    <w:ind w:leftChars="0" w:right="0" w:rightChars="0"/>
                    <w:jc w:val="right"/>
                    <w:rPr>
                      <w:rFonts w:hint="default"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数据来源：同花顺、氢能俱乐部</w:t>
                  </w:r>
                </w:p>
              </w:txbxContent>
            </v:textbox>
          </v:shape>
        </w:pict>
      </w: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both"/>
        <w:rPr>
          <w:rFonts w:ascii="Times New Roman" w:eastAsia="Times New Roman"/>
        </w:rPr>
      </w:pPr>
    </w:p>
    <w:p>
      <w:pPr>
        <w:pStyle w:val="4"/>
        <w:spacing w:before="74"/>
        <w:ind w:right="1018"/>
        <w:jc w:val="right"/>
        <w:rPr>
          <w:rFonts w:ascii="Times New Roman" w:eastAsia="Times New Roman"/>
        </w:rPr>
      </w:pPr>
    </w:p>
    <w:tbl>
      <w:tblPr>
        <w:tblStyle w:val="9"/>
        <w:tblpPr w:leftFromText="180" w:rightFromText="180" w:vertAnchor="text" w:horzAnchor="page" w:tblpX="1059" w:tblpY="312"/>
        <w:tblOverlap w:val="never"/>
        <w:tblW w:w="9780" w:type="dxa"/>
        <w:tblInd w:w="0" w:type="dxa"/>
        <w:shd w:val="clear" w:color="auto" w:fill="auto"/>
        <w:tblLayout w:type="autofit"/>
        <w:tblCellMar>
          <w:top w:w="0" w:type="dxa"/>
          <w:left w:w="0" w:type="dxa"/>
          <w:bottom w:w="0" w:type="dxa"/>
          <w:right w:w="0" w:type="dxa"/>
        </w:tblCellMar>
      </w:tblPr>
      <w:tblGrid>
        <w:gridCol w:w="1215"/>
        <w:gridCol w:w="1095"/>
        <w:gridCol w:w="975"/>
        <w:gridCol w:w="1140"/>
        <w:gridCol w:w="3525"/>
        <w:gridCol w:w="1830"/>
      </w:tblGrid>
      <w:tr>
        <w:tblPrEx>
          <w:shd w:val="clear" w:color="auto" w:fill="auto"/>
          <w:tblCellMar>
            <w:top w:w="0" w:type="dxa"/>
            <w:left w:w="0" w:type="dxa"/>
            <w:bottom w:w="0" w:type="dxa"/>
            <w:right w:w="0" w:type="dxa"/>
          </w:tblCellMar>
        </w:tblPrEx>
        <w:trPr>
          <w:trHeight w:val="12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FFFFFF"/>
                <w:sz w:val="22"/>
                <w:szCs w:val="22"/>
                <w:u w:val="none"/>
              </w:rPr>
            </w:pPr>
            <w:r>
              <w:rPr>
                <w:rFonts w:hint="eastAsia" w:ascii="宋体" w:hAnsi="宋体" w:eastAsia="宋体" w:cs="宋体"/>
                <w:b/>
                <w:i w:val="0"/>
                <w:color w:val="FFFFFF"/>
                <w:kern w:val="0"/>
                <w:sz w:val="22"/>
                <w:szCs w:val="22"/>
                <w:u w:val="none"/>
                <w:lang w:val="en-US" w:eastAsia="zh-CN" w:bidi="ar"/>
              </w:rPr>
              <w:t>股票代码</w:t>
            </w:r>
          </w:p>
        </w:tc>
        <w:tc>
          <w:tcPr>
            <w:tcW w:w="1095"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FFFFFF"/>
                <w:sz w:val="22"/>
                <w:szCs w:val="22"/>
                <w:u w:val="none"/>
              </w:rPr>
            </w:pPr>
            <w:r>
              <w:rPr>
                <w:rFonts w:hint="eastAsia" w:ascii="宋体" w:hAnsi="宋体" w:eastAsia="宋体" w:cs="宋体"/>
                <w:b/>
                <w:i w:val="0"/>
                <w:color w:val="FFFFFF"/>
                <w:kern w:val="0"/>
                <w:sz w:val="22"/>
                <w:szCs w:val="22"/>
                <w:u w:val="none"/>
                <w:lang w:val="en-US" w:eastAsia="zh-CN" w:bidi="ar"/>
              </w:rPr>
              <w:t>股票简称</w:t>
            </w:r>
          </w:p>
        </w:tc>
        <w:tc>
          <w:tcPr>
            <w:tcW w:w="975"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FFFFFF"/>
                <w:sz w:val="22"/>
                <w:szCs w:val="22"/>
                <w:u w:val="none"/>
              </w:rPr>
            </w:pPr>
            <w:r>
              <w:rPr>
                <w:rFonts w:hint="eastAsia" w:ascii="宋体" w:hAnsi="宋体" w:eastAsia="宋体" w:cs="宋体"/>
                <w:b/>
                <w:i w:val="0"/>
                <w:color w:val="FFFFFF"/>
                <w:kern w:val="0"/>
                <w:sz w:val="22"/>
                <w:szCs w:val="22"/>
                <w:u w:val="none"/>
                <w:lang w:val="en-US" w:eastAsia="zh-CN" w:bidi="ar"/>
              </w:rPr>
              <w:t>现价</w:t>
            </w:r>
            <w:r>
              <w:rPr>
                <w:rFonts w:ascii="Arial" w:hAnsi="Arial" w:eastAsia="宋体" w:cs="Arial"/>
                <w:b/>
                <w:i w:val="0"/>
                <w:color w:val="FFFFFF"/>
                <w:kern w:val="0"/>
                <w:sz w:val="22"/>
                <w:szCs w:val="22"/>
                <w:u w:val="none"/>
                <w:lang w:val="en-US" w:eastAsia="zh-CN" w:bidi="ar"/>
              </w:rPr>
              <w:t>(</w:t>
            </w:r>
            <w:r>
              <w:rPr>
                <w:rFonts w:hint="eastAsia" w:ascii="宋体" w:hAnsi="宋体" w:eastAsia="宋体" w:cs="宋体"/>
                <w:b/>
                <w:i w:val="0"/>
                <w:color w:val="FFFFFF"/>
                <w:kern w:val="0"/>
                <w:sz w:val="22"/>
                <w:szCs w:val="22"/>
                <w:u w:val="none"/>
                <w:lang w:val="en-US" w:eastAsia="zh-CN" w:bidi="ar"/>
              </w:rPr>
              <w:t>元</w:t>
            </w:r>
            <w:r>
              <w:rPr>
                <w:rFonts w:ascii="Arial" w:hAnsi="Arial" w:eastAsia="宋体" w:cs="Arial"/>
                <w:b/>
                <w:i w:val="0"/>
                <w:color w:val="FFFFFF"/>
                <w:kern w:val="0"/>
                <w:sz w:val="22"/>
                <w:szCs w:val="22"/>
                <w:u w:val="none"/>
                <w:lang w:val="en-US" w:eastAsia="zh-CN" w:bidi="ar"/>
              </w:rPr>
              <w:t>)</w:t>
            </w:r>
          </w:p>
        </w:tc>
        <w:tc>
          <w:tcPr>
            <w:tcW w:w="1140"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FFFFFF"/>
                <w:sz w:val="22"/>
                <w:szCs w:val="22"/>
                <w:u w:val="none"/>
              </w:rPr>
            </w:pPr>
            <w:r>
              <w:rPr>
                <w:rFonts w:hint="eastAsia" w:ascii="宋体" w:hAnsi="宋体" w:eastAsia="宋体" w:cs="宋体"/>
                <w:b/>
                <w:i w:val="0"/>
                <w:color w:val="FFFFFF"/>
                <w:kern w:val="0"/>
                <w:sz w:val="22"/>
                <w:szCs w:val="22"/>
                <w:u w:val="none"/>
                <w:lang w:val="en-US" w:eastAsia="zh-CN" w:bidi="ar"/>
              </w:rPr>
              <w:t>涨跌幅</w:t>
            </w:r>
            <w:r>
              <w:rPr>
                <w:rFonts w:ascii="Arial" w:hAnsi="Arial" w:eastAsia="宋体" w:cs="Arial"/>
                <w:b/>
                <w:i w:val="0"/>
                <w:color w:val="FFFFFF"/>
                <w:kern w:val="0"/>
                <w:sz w:val="22"/>
                <w:szCs w:val="22"/>
                <w:u w:val="none"/>
                <w:lang w:val="en-US" w:eastAsia="zh-CN" w:bidi="ar"/>
              </w:rPr>
              <w:t>(%)</w:t>
            </w:r>
          </w:p>
        </w:tc>
        <w:tc>
          <w:tcPr>
            <w:tcW w:w="3525"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FFFFFF"/>
                <w:sz w:val="22"/>
                <w:szCs w:val="22"/>
                <w:u w:val="none"/>
              </w:rPr>
            </w:pPr>
            <w:r>
              <w:rPr>
                <w:rFonts w:hint="eastAsia" w:ascii="宋体" w:hAnsi="宋体" w:eastAsia="宋体" w:cs="宋体"/>
                <w:b/>
                <w:i w:val="0"/>
                <w:color w:val="FFFFFF"/>
                <w:kern w:val="0"/>
                <w:sz w:val="22"/>
                <w:szCs w:val="22"/>
                <w:u w:val="none"/>
                <w:lang w:val="en-US" w:eastAsia="zh-CN" w:bidi="ar"/>
              </w:rPr>
              <w:t>概念解析</w:t>
            </w:r>
          </w:p>
        </w:tc>
        <w:tc>
          <w:tcPr>
            <w:tcW w:w="1830" w:type="dxa"/>
            <w:tcBorders>
              <w:top w:val="single" w:color="1C7A80" w:sz="8" w:space="0"/>
              <w:left w:val="single" w:color="1C7A80" w:sz="8" w:space="0"/>
              <w:bottom w:val="single" w:color="1C7A80" w:sz="8" w:space="0"/>
              <w:right w:val="single" w:color="1C7A80" w:sz="8" w:space="0"/>
            </w:tcBorders>
            <w:shd w:val="clear" w:color="auto" w:fill="548DD4" w:themeFill="text2" w:themeFillTint="99"/>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b/>
                <w:i w:val="0"/>
                <w:color w:val="FFFFFF"/>
                <w:sz w:val="22"/>
                <w:szCs w:val="22"/>
                <w:u w:val="none"/>
              </w:rPr>
            </w:pPr>
            <w:r>
              <w:rPr>
                <w:rFonts w:hint="default" w:ascii="Arial" w:hAnsi="Arial" w:eastAsia="宋体" w:cs="Arial"/>
                <w:b/>
                <w:i w:val="0"/>
                <w:color w:val="FFFFFF"/>
                <w:kern w:val="0"/>
                <w:sz w:val="22"/>
                <w:szCs w:val="22"/>
                <w:u w:val="none"/>
                <w:lang w:val="en-US" w:eastAsia="zh-CN" w:bidi="ar"/>
              </w:rPr>
              <w:t>a</w:t>
            </w:r>
            <w:r>
              <w:rPr>
                <w:rFonts w:hint="eastAsia" w:ascii="宋体" w:hAnsi="宋体" w:eastAsia="宋体" w:cs="宋体"/>
                <w:b/>
                <w:i w:val="0"/>
                <w:color w:val="FFFFFF"/>
                <w:kern w:val="0"/>
                <w:sz w:val="22"/>
                <w:szCs w:val="22"/>
                <w:u w:val="none"/>
                <w:lang w:val="en-US" w:eastAsia="zh-CN" w:bidi="ar"/>
              </w:rPr>
              <w:t>股流通市值</w:t>
            </w:r>
            <w:r>
              <w:rPr>
                <w:rFonts w:ascii="Arial" w:hAnsi="Arial" w:eastAsia="宋体" w:cs="Arial"/>
                <w:b/>
                <w:i w:val="0"/>
                <w:color w:val="FFFFFF"/>
                <w:kern w:val="0"/>
                <w:sz w:val="22"/>
                <w:szCs w:val="22"/>
                <w:u w:val="none"/>
                <w:lang w:val="en-US" w:eastAsia="zh-CN" w:bidi="ar"/>
              </w:rPr>
              <w:t xml:space="preserve"> (</w:t>
            </w:r>
            <w:r>
              <w:rPr>
                <w:rFonts w:hint="eastAsia" w:ascii="宋体" w:hAnsi="宋体" w:eastAsia="宋体" w:cs="宋体"/>
                <w:b/>
                <w:i w:val="0"/>
                <w:color w:val="FFFFFF"/>
                <w:kern w:val="0"/>
                <w:sz w:val="22"/>
                <w:szCs w:val="22"/>
                <w:u w:val="none"/>
                <w:lang w:val="en-US" w:eastAsia="zh-CN" w:bidi="ar"/>
              </w:rPr>
              <w:t>元</w:t>
            </w:r>
            <w:r>
              <w:rPr>
                <w:rFonts w:ascii="Arial" w:hAnsi="Arial" w:eastAsia="宋体" w:cs="Arial"/>
                <w:b/>
                <w:i w:val="0"/>
                <w:color w:val="FFFFFF"/>
                <w:kern w:val="0"/>
                <w:sz w:val="22"/>
                <w:szCs w:val="22"/>
                <w:u w:val="none"/>
                <w:lang w:val="en-US" w:eastAsia="zh-CN" w:bidi="ar"/>
              </w:rPr>
              <w:t>)2020.11.13</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600166.SH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福田汽车</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3.16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10.11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10</w:t>
            </w:r>
            <w:r>
              <w:rPr>
                <w:rFonts w:hint="eastAsia" w:ascii="宋体" w:hAnsi="宋体" w:eastAsia="宋体" w:cs="宋体"/>
                <w:i w:val="0"/>
                <w:color w:val="152122"/>
                <w:kern w:val="0"/>
                <w:sz w:val="22"/>
                <w:szCs w:val="22"/>
                <w:u w:val="none"/>
                <w:lang w:val="en-US" w:eastAsia="zh-CN" w:bidi="ar"/>
              </w:rPr>
              <w:t>日互动平台回复：公司重视氢能源发展，包括技术开发、市场开拓、人才培养，氢能源重卡、轻卡等车型均列入计划，目前公司的氢燃料重卡产品处于产品开发阶段，正在自主研发长续驶里程、高承载和高速的燃料电池重卡。</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20777606868.52</w:t>
            </w:r>
          </w:p>
        </w:tc>
      </w:tr>
      <w:tr>
        <w:tblPrEx>
          <w:tblCellMar>
            <w:top w:w="0" w:type="dxa"/>
            <w:left w:w="0" w:type="dxa"/>
            <w:bottom w:w="0" w:type="dxa"/>
            <w:right w:w="0" w:type="dxa"/>
          </w:tblCellMar>
        </w:tblPrEx>
        <w:trPr>
          <w:trHeight w:val="25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000811.SZ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冰轮环境</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7.77</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10.06</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月，公司拟全资设立山东冰轮海卓氢能技术研究院有限公司（暂定名，以公司登记机关核准的为准），注册资本</w:t>
            </w:r>
            <w:r>
              <w:rPr>
                <w:rFonts w:hint="default" w:ascii="Arial" w:hAnsi="Arial" w:eastAsia="宋体" w:cs="Arial"/>
                <w:i w:val="0"/>
                <w:color w:val="152122"/>
                <w:kern w:val="0"/>
                <w:sz w:val="22"/>
                <w:szCs w:val="22"/>
                <w:u w:val="none"/>
                <w:lang w:val="en-US" w:eastAsia="zh-CN" w:bidi="ar"/>
              </w:rPr>
              <w:t>5000</w:t>
            </w:r>
            <w:r>
              <w:rPr>
                <w:rFonts w:hint="eastAsia" w:ascii="宋体" w:hAnsi="宋体" w:eastAsia="宋体" w:cs="宋体"/>
                <w:i w:val="0"/>
                <w:color w:val="152122"/>
                <w:kern w:val="0"/>
                <w:sz w:val="22"/>
                <w:szCs w:val="22"/>
                <w:u w:val="none"/>
                <w:lang w:val="en-US" w:eastAsia="zh-CN" w:bidi="ar"/>
              </w:rPr>
              <w:t>万元，公司以自有资金出资。山东冰轮海卓氢能技术研究院有限公司注册资本</w:t>
            </w:r>
            <w:r>
              <w:rPr>
                <w:rFonts w:hint="default" w:ascii="Arial" w:hAnsi="Arial" w:eastAsia="宋体" w:cs="Arial"/>
                <w:i w:val="0"/>
                <w:color w:val="152122"/>
                <w:kern w:val="0"/>
                <w:sz w:val="22"/>
                <w:szCs w:val="22"/>
                <w:u w:val="none"/>
                <w:lang w:val="en-US" w:eastAsia="zh-CN" w:bidi="ar"/>
              </w:rPr>
              <w:t>5000</w:t>
            </w:r>
            <w:r>
              <w:rPr>
                <w:rFonts w:hint="eastAsia" w:ascii="宋体" w:hAnsi="宋体" w:eastAsia="宋体" w:cs="宋体"/>
                <w:i w:val="0"/>
                <w:color w:val="152122"/>
                <w:kern w:val="0"/>
                <w:sz w:val="22"/>
                <w:szCs w:val="22"/>
                <w:u w:val="none"/>
                <w:lang w:val="en-US" w:eastAsia="zh-CN" w:bidi="ar"/>
              </w:rPr>
              <w:t>万元，定位为氢能技术研究和孵化平台。</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5795034554.61</w:t>
            </w:r>
          </w:p>
        </w:tc>
      </w:tr>
      <w:tr>
        <w:tblPrEx>
          <w:tblCellMar>
            <w:top w:w="0" w:type="dxa"/>
            <w:left w:w="0" w:type="dxa"/>
            <w:bottom w:w="0" w:type="dxa"/>
            <w:right w:w="0" w:type="dxa"/>
          </w:tblCellMar>
        </w:tblPrEx>
        <w:trPr>
          <w:trHeight w:val="18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300540.SZ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深冷股份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25.41</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8.50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公司主要产品智能加氢枪是为燃料电池汽车进行氢气加注的核心零部件设备</w:t>
            </w:r>
            <w:r>
              <w:rPr>
                <w:rFonts w:hint="default" w:ascii="Arial" w:hAnsi="Arial" w:eastAsia="宋体" w:cs="Arial"/>
                <w:i w:val="0"/>
                <w:color w:val="152122"/>
                <w:kern w:val="0"/>
                <w:sz w:val="22"/>
                <w:szCs w:val="22"/>
                <w:u w:val="none"/>
                <w:lang w:val="en-US" w:eastAsia="zh-CN" w:bidi="ar"/>
              </w:rPr>
              <w:t>;17</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9</w:t>
            </w:r>
            <w:r>
              <w:rPr>
                <w:rFonts w:hint="eastAsia" w:ascii="宋体" w:hAnsi="宋体" w:eastAsia="宋体" w:cs="宋体"/>
                <w:i w:val="0"/>
                <w:color w:val="152122"/>
                <w:kern w:val="0"/>
                <w:sz w:val="22"/>
                <w:szCs w:val="22"/>
                <w:u w:val="none"/>
                <w:lang w:val="en-US" w:eastAsia="zh-CN" w:bidi="ar"/>
              </w:rPr>
              <w:t>月与武汉地质资源环境工业技术研究院合作推进氢燃料电池汽车的应用和推广项目。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2255527213.17</w:t>
            </w:r>
          </w:p>
        </w:tc>
      </w:tr>
      <w:tr>
        <w:tblPrEx>
          <w:shd w:val="clear" w:color="auto" w:fill="auto"/>
          <w:tblCellMar>
            <w:top w:w="0" w:type="dxa"/>
            <w:left w:w="0" w:type="dxa"/>
            <w:bottom w:w="0" w:type="dxa"/>
            <w:right w:w="0" w:type="dxa"/>
          </w:tblCellMar>
        </w:tblPrEx>
        <w:trPr>
          <w:trHeight w:val="19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002709.SZ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天赐材料</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80.50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6.13</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项目建设上，公司将启动产品三废利用，进行基础材料制备的循环产业链系统系项目，包括副产硫酸、含盐废水的回用，副产氢气等的利用</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43723694864.50</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300228.SZ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富瑞特装</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7.78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4.99</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21</w:t>
            </w:r>
            <w:r>
              <w:rPr>
                <w:rFonts w:hint="eastAsia" w:ascii="宋体" w:hAnsi="宋体" w:eastAsia="宋体" w:cs="宋体"/>
                <w:i w:val="0"/>
                <w:color w:val="152122"/>
                <w:kern w:val="0"/>
                <w:sz w:val="22"/>
                <w:szCs w:val="22"/>
                <w:u w:val="none"/>
                <w:lang w:val="en-US" w:eastAsia="zh-CN" w:bidi="ar"/>
              </w:rPr>
              <w:t>日公司在互动平台称：目前公司控股子公司富瑞阀门的</w:t>
            </w:r>
            <w:r>
              <w:rPr>
                <w:rFonts w:hint="default" w:ascii="Arial" w:hAnsi="Arial" w:eastAsia="宋体" w:cs="Arial"/>
                <w:i w:val="0"/>
                <w:color w:val="152122"/>
                <w:kern w:val="0"/>
                <w:sz w:val="22"/>
                <w:szCs w:val="22"/>
                <w:u w:val="none"/>
                <w:lang w:val="en-US" w:eastAsia="zh-CN" w:bidi="ar"/>
              </w:rPr>
              <w:t>35Mp</w:t>
            </w:r>
            <w:r>
              <w:rPr>
                <w:rFonts w:hint="eastAsia" w:ascii="宋体" w:hAnsi="宋体" w:eastAsia="宋体" w:cs="宋体"/>
                <w:i w:val="0"/>
                <w:color w:val="152122"/>
                <w:kern w:val="0"/>
                <w:sz w:val="22"/>
                <w:szCs w:val="22"/>
                <w:u w:val="none"/>
                <w:lang w:val="en-US" w:eastAsia="zh-CN" w:bidi="ar"/>
              </w:rPr>
              <w:t>系列氢用阀门等少量产品为氢能业务配套，张家港同创富瑞基金的投资项目中有些与氢能相关。</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3268249178.76</w:t>
            </w:r>
          </w:p>
        </w:tc>
      </w:tr>
      <w:tr>
        <w:tblPrEx>
          <w:shd w:val="clear" w:color="auto" w:fill="auto"/>
          <w:tblCellMar>
            <w:top w:w="0" w:type="dxa"/>
            <w:left w:w="0" w:type="dxa"/>
            <w:bottom w:w="0" w:type="dxa"/>
            <w:right w:w="0" w:type="dxa"/>
          </w:tblCellMar>
        </w:tblPrEx>
        <w:trPr>
          <w:trHeight w:val="20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002639.SZ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雪人股份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6.77</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在氢能源与燃料电池产业链上已布局两块业务，一是氢气制取与加氢站建设运营相关设备，二是氢燃料电池发动机系统集成，包括燃料电池电堆、燃料电池空压机及氢气循环泵等</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3782207016.34</w:t>
            </w:r>
          </w:p>
        </w:tc>
      </w:tr>
      <w:tr>
        <w:tblPrEx>
          <w:shd w:val="clear" w:color="auto" w:fill="auto"/>
          <w:tblCellMar>
            <w:top w:w="0" w:type="dxa"/>
            <w:left w:w="0" w:type="dxa"/>
            <w:bottom w:w="0" w:type="dxa"/>
            <w:right w:w="0" w:type="dxa"/>
          </w:tblCellMar>
        </w:tblPrEx>
        <w:trPr>
          <w:trHeight w:val="14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002249.SZ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大洋电机</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4.10</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4.06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大洋电机：与深圳市西湖新能源交通发展有限公司共同布局全球新能源汽车产业运营新式业嘉设</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6904010746.00</w:t>
            </w:r>
          </w:p>
        </w:tc>
      </w:tr>
      <w:tr>
        <w:tblPrEx>
          <w:shd w:val="clear" w:color="auto" w:fill="auto"/>
          <w:tblCellMar>
            <w:top w:w="0" w:type="dxa"/>
            <w:left w:w="0" w:type="dxa"/>
            <w:bottom w:w="0" w:type="dxa"/>
            <w:right w:w="0" w:type="dxa"/>
          </w:tblCellMar>
        </w:tblPrEx>
        <w:trPr>
          <w:trHeight w:val="16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002140.SZ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东华科技</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7.25</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3.87</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公司在互动平台称煤制氢是一种传统的化工工艺，公司在制氧方面已拥有较为成熟的技术，并配有多套工业配套装置的建设业绩。</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3824634151.25</w:t>
            </w:r>
          </w:p>
        </w:tc>
      </w:tr>
      <w:tr>
        <w:tblPrEx>
          <w:tblCellMar>
            <w:top w:w="0" w:type="dxa"/>
            <w:left w:w="0" w:type="dxa"/>
            <w:bottom w:w="0" w:type="dxa"/>
            <w:right w:w="0" w:type="dxa"/>
          </w:tblCellMar>
        </w:tblPrEx>
        <w:trPr>
          <w:trHeight w:val="16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000635.SZ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英力特</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8.68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3.46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9</w:t>
            </w:r>
            <w:r>
              <w:rPr>
                <w:rFonts w:hint="eastAsia" w:ascii="宋体" w:hAnsi="宋体" w:eastAsia="宋体" w:cs="宋体"/>
                <w:i w:val="0"/>
                <w:color w:val="152122"/>
                <w:kern w:val="0"/>
                <w:sz w:val="22"/>
                <w:szCs w:val="22"/>
                <w:u w:val="none"/>
                <w:lang w:val="en-US" w:eastAsia="zh-CN" w:bidi="ar"/>
              </w:rPr>
              <w:t>日互动平台回复：公司水电解制氢项目主体已完工，按照国家相关标准在达到预定可使用状态后，进行验收并投入运行。</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2630800385.36</w:t>
            </w:r>
          </w:p>
        </w:tc>
      </w:tr>
      <w:tr>
        <w:tblPrEx>
          <w:shd w:val="clear" w:color="auto" w:fill="auto"/>
          <w:tblCellMar>
            <w:top w:w="0" w:type="dxa"/>
            <w:left w:w="0" w:type="dxa"/>
            <w:bottom w:w="0" w:type="dxa"/>
            <w:right w:w="0" w:type="dxa"/>
          </w:tblCellMar>
        </w:tblPrEx>
        <w:trPr>
          <w:trHeight w:val="31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300068.SZ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南都电源</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15.60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3.24</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9</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23</w:t>
            </w:r>
            <w:r>
              <w:rPr>
                <w:rFonts w:hint="eastAsia" w:ascii="宋体" w:hAnsi="宋体" w:eastAsia="宋体" w:cs="宋体"/>
                <w:i w:val="0"/>
                <w:color w:val="152122"/>
                <w:kern w:val="0"/>
                <w:sz w:val="22"/>
                <w:szCs w:val="22"/>
                <w:u w:val="none"/>
                <w:lang w:val="en-US" w:eastAsia="zh-CN" w:bidi="ar"/>
              </w:rPr>
              <w:t>日公告披露：公司于近日与中国科学院大连化学物理研究所签署《产权交易合同》，公司以</w:t>
            </w:r>
            <w:r>
              <w:rPr>
                <w:rFonts w:hint="default" w:ascii="Arial" w:hAnsi="Arial" w:eastAsia="宋体" w:cs="Arial"/>
                <w:i w:val="0"/>
                <w:color w:val="152122"/>
                <w:kern w:val="0"/>
                <w:sz w:val="22"/>
                <w:szCs w:val="22"/>
                <w:u w:val="none"/>
                <w:lang w:val="en-US" w:eastAsia="zh-CN" w:bidi="ar"/>
              </w:rPr>
              <w:t xml:space="preserve"> 11,000 </w:t>
            </w:r>
            <w:r>
              <w:rPr>
                <w:rFonts w:hint="eastAsia" w:ascii="宋体" w:hAnsi="宋体" w:eastAsia="宋体" w:cs="宋体"/>
                <w:i w:val="0"/>
                <w:color w:val="152122"/>
                <w:kern w:val="0"/>
                <w:sz w:val="22"/>
                <w:szCs w:val="22"/>
                <w:u w:val="none"/>
                <w:lang w:val="en-US" w:eastAsia="zh-CN" w:bidi="ar"/>
              </w:rPr>
              <w:t>万元人民币现金收购大连化物所持有的新源动力</w:t>
            </w:r>
            <w:r>
              <w:rPr>
                <w:rFonts w:hint="default" w:ascii="Arial" w:hAnsi="Arial" w:eastAsia="宋体" w:cs="Arial"/>
                <w:i w:val="0"/>
                <w:color w:val="152122"/>
                <w:kern w:val="0"/>
                <w:sz w:val="22"/>
                <w:szCs w:val="22"/>
                <w:u w:val="none"/>
                <w:lang w:val="en-US" w:eastAsia="zh-CN" w:bidi="ar"/>
              </w:rPr>
              <w:t>17.86%</w:t>
            </w:r>
            <w:r>
              <w:rPr>
                <w:rFonts w:hint="eastAsia" w:ascii="宋体" w:hAnsi="宋体" w:eastAsia="宋体" w:cs="宋体"/>
                <w:i w:val="0"/>
                <w:color w:val="152122"/>
                <w:kern w:val="0"/>
                <w:sz w:val="22"/>
                <w:szCs w:val="22"/>
                <w:u w:val="none"/>
                <w:lang w:val="en-US" w:eastAsia="zh-CN" w:bidi="ar"/>
              </w:rPr>
              <w:t>股权，本次产权交易在北京产权交易所挂牌进行。公司原持有新源动力</w:t>
            </w:r>
            <w:r>
              <w:rPr>
                <w:rFonts w:hint="default" w:ascii="Arial" w:hAnsi="Arial" w:eastAsia="宋体" w:cs="Arial"/>
                <w:i w:val="0"/>
                <w:color w:val="152122"/>
                <w:kern w:val="0"/>
                <w:sz w:val="22"/>
                <w:szCs w:val="22"/>
                <w:u w:val="none"/>
                <w:lang w:val="en-US" w:eastAsia="zh-CN" w:bidi="ar"/>
              </w:rPr>
              <w:t xml:space="preserve"> 8.48%</w:t>
            </w:r>
            <w:r>
              <w:rPr>
                <w:rFonts w:hint="eastAsia" w:ascii="宋体" w:hAnsi="宋体" w:eastAsia="宋体" w:cs="宋体"/>
                <w:i w:val="0"/>
                <w:color w:val="152122"/>
                <w:kern w:val="0"/>
                <w:sz w:val="22"/>
                <w:szCs w:val="22"/>
                <w:u w:val="none"/>
                <w:lang w:val="en-US" w:eastAsia="zh-CN" w:bidi="ar"/>
              </w:rPr>
              <w:t>股权，本次交易完成后，公司将持有新源动力合计</w:t>
            </w:r>
            <w:r>
              <w:rPr>
                <w:rFonts w:hint="default" w:ascii="Arial" w:hAnsi="Arial" w:eastAsia="宋体" w:cs="Arial"/>
                <w:i w:val="0"/>
                <w:color w:val="152122"/>
                <w:kern w:val="0"/>
                <w:sz w:val="22"/>
                <w:szCs w:val="22"/>
                <w:u w:val="none"/>
                <w:lang w:val="en-US" w:eastAsia="zh-CN" w:bidi="ar"/>
              </w:rPr>
              <w:t xml:space="preserve"> 26.34%</w:t>
            </w:r>
            <w:r>
              <w:rPr>
                <w:rFonts w:hint="eastAsia" w:ascii="宋体" w:hAnsi="宋体" w:eastAsia="宋体" w:cs="宋体"/>
                <w:i w:val="0"/>
                <w:color w:val="152122"/>
                <w:kern w:val="0"/>
                <w:sz w:val="22"/>
                <w:szCs w:val="22"/>
                <w:u w:val="none"/>
                <w:lang w:val="en-US" w:eastAsia="zh-CN" w:bidi="ar"/>
              </w:rPr>
              <w:t>股权，成为新源动力第二大股东。</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12861407738.40</w:t>
            </w:r>
          </w:p>
        </w:tc>
      </w:tr>
      <w:tr>
        <w:tblPrEx>
          <w:shd w:val="clear" w:color="auto" w:fill="auto"/>
          <w:tblCellMar>
            <w:top w:w="0" w:type="dxa"/>
            <w:left w:w="0" w:type="dxa"/>
            <w:bottom w:w="0" w:type="dxa"/>
            <w:right w:w="0" w:type="dxa"/>
          </w:tblCellMar>
        </w:tblPrEx>
        <w:trPr>
          <w:trHeight w:val="16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601965.SH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中国汽研</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14.43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3.22</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由中国汽研筹建的国内首个国家氢能动力质检中心正式获国家市场监督管理总局同意建设的批复</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13918792242.81</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300409.SZ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道氏技术</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14.56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2.90</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21</w:t>
            </w:r>
            <w:r>
              <w:rPr>
                <w:rFonts w:hint="eastAsia" w:ascii="宋体" w:hAnsi="宋体" w:eastAsia="宋体" w:cs="宋体"/>
                <w:i w:val="0"/>
                <w:color w:val="152122"/>
                <w:kern w:val="0"/>
                <w:sz w:val="22"/>
                <w:szCs w:val="22"/>
                <w:u w:val="none"/>
                <w:lang w:val="en-US" w:eastAsia="zh-CN" w:bidi="ar"/>
              </w:rPr>
              <w:t>日调研活动信息披露：公司设立广东道氏云杉氢能源科技有限公司并投资广东泰极动力科技有限公司，重点培育膜电极等核心业务，整合利用一切资源，提早布局氢燃料电池核心材料领域，使其成为公司未来持续发展的增长点。</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4591533710.40</w:t>
            </w:r>
          </w:p>
        </w:tc>
      </w:tr>
      <w:tr>
        <w:tblPrEx>
          <w:tblCellMar>
            <w:top w:w="0" w:type="dxa"/>
            <w:left w:w="0" w:type="dxa"/>
            <w:bottom w:w="0" w:type="dxa"/>
            <w:right w:w="0" w:type="dxa"/>
          </w:tblCellMar>
        </w:tblPrEx>
        <w:trPr>
          <w:trHeight w:val="25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000969.SZ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安泰科技</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6.96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2.81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日互动平台回复：安泰环境已在金属基气体扩散层具备了年产百万片级的生产能力，开发的金属双极板、</w:t>
            </w:r>
            <w:r>
              <w:rPr>
                <w:rFonts w:hint="default" w:ascii="Arial" w:hAnsi="Arial" w:eastAsia="宋体" w:cs="Arial"/>
                <w:i w:val="0"/>
                <w:color w:val="152122"/>
                <w:kern w:val="0"/>
                <w:sz w:val="22"/>
                <w:szCs w:val="22"/>
                <w:u w:val="none"/>
                <w:lang w:val="en-US" w:eastAsia="zh-CN" w:bidi="ar"/>
              </w:rPr>
              <w:t>45KW</w:t>
            </w:r>
            <w:r>
              <w:rPr>
                <w:rFonts w:hint="eastAsia" w:ascii="宋体" w:hAnsi="宋体" w:eastAsia="宋体" w:cs="宋体"/>
                <w:i w:val="0"/>
                <w:color w:val="152122"/>
                <w:kern w:val="0"/>
                <w:sz w:val="22"/>
                <w:szCs w:val="22"/>
                <w:u w:val="none"/>
                <w:lang w:val="en-US" w:eastAsia="zh-CN" w:bidi="ar"/>
              </w:rPr>
              <w:t>级燃料电池电堆等产品也具备了产业化能力，完成了燃料电池测试系统的开发和实验平台的建设，达到了国家课题要求的配套能力。</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6965785186.80</w:t>
            </w:r>
          </w:p>
        </w:tc>
      </w:tr>
      <w:tr>
        <w:tblPrEx>
          <w:tblCellMar>
            <w:top w:w="0" w:type="dxa"/>
            <w:left w:w="0" w:type="dxa"/>
            <w:bottom w:w="0" w:type="dxa"/>
            <w:right w:w="0" w:type="dxa"/>
          </w:tblCellMar>
        </w:tblPrEx>
        <w:trPr>
          <w:trHeight w:val="14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300375.SZ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鹏翎股份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5.76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2.67</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年报披露公司在氢能源汽车中车载储氢、运氢领域做了前期研究储备。</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2521550113.92</w:t>
            </w:r>
          </w:p>
        </w:tc>
      </w:tr>
      <w:tr>
        <w:tblPrEx>
          <w:tblCellMar>
            <w:top w:w="0" w:type="dxa"/>
            <w:left w:w="0" w:type="dxa"/>
            <w:bottom w:w="0" w:type="dxa"/>
            <w:right w:w="0" w:type="dxa"/>
          </w:tblCellMar>
        </w:tblPrEx>
        <w:trPr>
          <w:trHeight w:val="36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600727.SH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鲁北化工</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7.26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2.54</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公司经营范围为许可证批准范围内的氢氧化钠、磷酸、磷酸二铵（</w:t>
            </w:r>
            <w:r>
              <w:rPr>
                <w:rFonts w:hint="default" w:ascii="Arial" w:hAnsi="Arial" w:eastAsia="宋体" w:cs="Arial"/>
                <w:i w:val="0"/>
                <w:color w:val="152122"/>
                <w:kern w:val="0"/>
                <w:sz w:val="22"/>
                <w:szCs w:val="22"/>
                <w:u w:val="none"/>
                <w:lang w:val="en-US" w:eastAsia="zh-CN" w:bidi="ar"/>
              </w:rPr>
              <w:t>57%</w:t>
            </w:r>
            <w:r>
              <w:rPr>
                <w:rFonts w:hint="eastAsia" w:ascii="宋体" w:hAnsi="宋体" w:eastAsia="宋体" w:cs="宋体"/>
                <w:i w:val="0"/>
                <w:color w:val="152122"/>
                <w:kern w:val="0"/>
                <w:sz w:val="22"/>
                <w:szCs w:val="22"/>
                <w:u w:val="none"/>
                <w:lang w:val="en-US" w:eastAsia="zh-CN" w:bidi="ar"/>
              </w:rPr>
              <w:t>）、硫酸（</w:t>
            </w:r>
            <w:r>
              <w:rPr>
                <w:rFonts w:hint="default" w:ascii="Arial" w:hAnsi="Arial" w:eastAsia="宋体" w:cs="Arial"/>
                <w:i w:val="0"/>
                <w:color w:val="152122"/>
                <w:kern w:val="0"/>
                <w:sz w:val="22"/>
                <w:szCs w:val="22"/>
                <w:u w:val="none"/>
                <w:lang w:val="en-US" w:eastAsia="zh-CN" w:bidi="ar"/>
              </w:rPr>
              <w:t>93%</w:t>
            </w:r>
            <w:r>
              <w:rPr>
                <w:rFonts w:hint="eastAsia" w:ascii="宋体" w:hAnsi="宋体" w:eastAsia="宋体" w:cs="宋体"/>
                <w:i w:val="0"/>
                <w:color w:val="152122"/>
                <w:kern w:val="0"/>
                <w:sz w:val="22"/>
                <w:szCs w:val="22"/>
                <w:u w:val="none"/>
                <w:lang w:val="en-US" w:eastAsia="zh-CN" w:bidi="ar"/>
              </w:rPr>
              <w:t>）、工业溴、液氯、盐酸、次氯酸钠溶液、氢气</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水泥生产、销售；工业盐的生产销售；海水养殖（以上项目有效期限以许可证为准）；复混肥料、掺混肥料、复合肥料、生物有机肥料、控释肥料的生产销售；废酸处理。（依法须经批准的项目，经相关部门批准后方可开展经营活动）。</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2547727166.82</w:t>
            </w:r>
          </w:p>
        </w:tc>
      </w:tr>
      <w:tr>
        <w:tblPrEx>
          <w:shd w:val="clear" w:color="auto" w:fill="auto"/>
          <w:tblCellMar>
            <w:top w:w="0" w:type="dxa"/>
            <w:left w:w="0" w:type="dxa"/>
            <w:bottom w:w="0" w:type="dxa"/>
            <w:right w:w="0" w:type="dxa"/>
          </w:tblCellMar>
        </w:tblPrEx>
        <w:trPr>
          <w:trHeight w:val="24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600686.SH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金龙汽车</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7.80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2.36</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15</w:t>
            </w:r>
            <w:r>
              <w:rPr>
                <w:rFonts w:hint="eastAsia" w:ascii="宋体" w:hAnsi="宋体" w:eastAsia="宋体" w:cs="宋体"/>
                <w:i w:val="0"/>
                <w:color w:val="152122"/>
                <w:kern w:val="0"/>
                <w:sz w:val="22"/>
                <w:szCs w:val="22"/>
                <w:u w:val="none"/>
                <w:lang w:val="en-US" w:eastAsia="zh-CN" w:bidi="ar"/>
              </w:rPr>
              <w:t>日互动平台回复，氢能源客车方面：金旅客车</w:t>
            </w:r>
            <w:r>
              <w:rPr>
                <w:rFonts w:hint="default" w:ascii="Arial" w:hAnsi="Arial" w:eastAsia="宋体" w:cs="Arial"/>
                <w:i w:val="0"/>
                <w:color w:val="152122"/>
                <w:kern w:val="0"/>
                <w:sz w:val="22"/>
                <w:szCs w:val="22"/>
                <w:u w:val="none"/>
                <w:lang w:val="en-US" w:eastAsia="zh-CN" w:bidi="ar"/>
              </w:rPr>
              <w:t>8.5</w:t>
            </w:r>
            <w:r>
              <w:rPr>
                <w:rFonts w:hint="eastAsia" w:ascii="宋体" w:hAnsi="宋体" w:eastAsia="宋体" w:cs="宋体"/>
                <w:i w:val="0"/>
                <w:color w:val="152122"/>
                <w:kern w:val="0"/>
                <w:sz w:val="22"/>
                <w:szCs w:val="22"/>
                <w:u w:val="none"/>
                <w:lang w:val="en-US" w:eastAsia="zh-CN" w:bidi="ar"/>
              </w:rPr>
              <w:t>米川流系列氢燃料电池客车先后获得嘉善公交和广东佛山</w:t>
            </w:r>
            <w:r>
              <w:rPr>
                <w:rFonts w:hint="default" w:ascii="Arial" w:hAnsi="Arial" w:eastAsia="宋体" w:cs="Arial"/>
                <w:i w:val="0"/>
                <w:color w:val="152122"/>
                <w:kern w:val="0"/>
                <w:sz w:val="22"/>
                <w:szCs w:val="22"/>
                <w:u w:val="none"/>
                <w:lang w:val="en-US" w:eastAsia="zh-CN" w:bidi="ar"/>
              </w:rPr>
              <w:t>300</w:t>
            </w:r>
            <w:r>
              <w:rPr>
                <w:rFonts w:hint="eastAsia" w:ascii="宋体" w:hAnsi="宋体" w:eastAsia="宋体" w:cs="宋体"/>
                <w:i w:val="0"/>
                <w:color w:val="152122"/>
                <w:kern w:val="0"/>
                <w:sz w:val="22"/>
                <w:szCs w:val="22"/>
                <w:u w:val="none"/>
                <w:lang w:val="en-US" w:eastAsia="zh-CN" w:bidi="ar"/>
              </w:rPr>
              <w:t>多台氢燃料公交大单；苏州金龙与丰田汽车在氢能源客车领域开展合作，正式在张家港投入商业化示范运营。</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4732560385.80</w:t>
            </w:r>
          </w:p>
        </w:tc>
      </w:tr>
      <w:tr>
        <w:tblPrEx>
          <w:shd w:val="clear" w:color="auto" w:fill="auto"/>
          <w:tblCellMar>
            <w:top w:w="0" w:type="dxa"/>
            <w:left w:w="0" w:type="dxa"/>
            <w:bottom w:w="0" w:type="dxa"/>
            <w:right w:w="0" w:type="dxa"/>
          </w:tblCellMar>
        </w:tblPrEx>
        <w:trPr>
          <w:trHeight w:val="18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600860.SH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京城</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4.10</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1.99</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积极引进加氢站装备制造技术，解决氢气储运的瓶颈环节，打造公司在氢能装备制造领域的领先优势和龙头地位。</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1320200000.00</w:t>
            </w:r>
          </w:p>
        </w:tc>
      </w:tr>
      <w:tr>
        <w:tblPrEx>
          <w:shd w:val="clear" w:color="auto" w:fill="auto"/>
          <w:tblCellMar>
            <w:top w:w="0" w:type="dxa"/>
            <w:left w:w="0" w:type="dxa"/>
            <w:bottom w:w="0" w:type="dxa"/>
            <w:right w:w="0" w:type="dxa"/>
          </w:tblCellMar>
        </w:tblPrEx>
        <w:trPr>
          <w:trHeight w:val="16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002054.SZ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德美化工</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7.79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1.96</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德美化工参股的濮阳市濮阳市中炜精细化工有限公司</w:t>
            </w:r>
            <w:r>
              <w:rPr>
                <w:rFonts w:hint="default" w:ascii="Arial" w:hAnsi="Arial" w:eastAsia="宋体" w:cs="Arial"/>
                <w:i w:val="0"/>
                <w:color w:val="152122"/>
                <w:kern w:val="0"/>
                <w:sz w:val="22"/>
                <w:szCs w:val="22"/>
                <w:u w:val="none"/>
                <w:lang w:val="en-US" w:eastAsia="zh-CN" w:bidi="ar"/>
              </w:rPr>
              <w:t>1000Nm3/h</w:t>
            </w:r>
            <w:r>
              <w:rPr>
                <w:rFonts w:hint="eastAsia" w:ascii="宋体" w:hAnsi="宋体" w:eastAsia="宋体" w:cs="宋体"/>
                <w:i w:val="0"/>
                <w:color w:val="152122"/>
                <w:kern w:val="0"/>
                <w:sz w:val="22"/>
                <w:szCs w:val="22"/>
                <w:u w:val="none"/>
                <w:lang w:val="en-US" w:eastAsia="zh-CN" w:bidi="ar"/>
              </w:rPr>
              <w:t>甲醇制氢、</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万吨</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C4</w:t>
            </w:r>
            <w:r>
              <w:rPr>
                <w:rFonts w:hint="eastAsia" w:ascii="宋体" w:hAnsi="宋体" w:eastAsia="宋体" w:cs="宋体"/>
                <w:i w:val="0"/>
                <w:color w:val="152122"/>
                <w:kern w:val="0"/>
                <w:sz w:val="22"/>
                <w:szCs w:val="22"/>
                <w:u w:val="none"/>
                <w:lang w:val="en-US" w:eastAsia="zh-CN" w:bidi="ar"/>
              </w:rPr>
              <w:t>饱和加氢脱氢及</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万吨</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年环保碳氢制冷剂项目。</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2419770767.61</w:t>
            </w:r>
          </w:p>
        </w:tc>
      </w:tr>
      <w:tr>
        <w:tblPrEx>
          <w:shd w:val="clear" w:color="auto" w:fill="auto"/>
          <w:tblCellMar>
            <w:top w:w="0" w:type="dxa"/>
            <w:left w:w="0" w:type="dxa"/>
            <w:bottom w:w="0" w:type="dxa"/>
            <w:right w:w="0" w:type="dxa"/>
          </w:tblCellMar>
        </w:tblPrEx>
        <w:trPr>
          <w:trHeight w:val="28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601777.SH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力帆</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5.28</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1.93</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13</w:t>
            </w:r>
            <w:r>
              <w:rPr>
                <w:rFonts w:hint="eastAsia" w:ascii="宋体" w:hAnsi="宋体" w:eastAsia="宋体" w:cs="宋体"/>
                <w:i w:val="0"/>
                <w:color w:val="152122"/>
                <w:kern w:val="0"/>
                <w:sz w:val="22"/>
                <w:szCs w:val="22"/>
                <w:u w:val="none"/>
                <w:lang w:val="en-US" w:eastAsia="zh-CN" w:bidi="ar"/>
              </w:rPr>
              <w:t>日，重庆力帆乘用车有限公司</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力帆乘用车</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与武汉泰歌氢能汽车有限公司</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武汉泰歌</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、重庆地大工业技术研究院有限公司</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重庆地大</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在重庆市签订《战略合作协议》。</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各方的合作宗旨是通过各方的紧密合作，在氢能源领域打造双赢、可持续发展的战略合作伙伴关系。</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6789162753.12</w:t>
            </w:r>
          </w:p>
        </w:tc>
      </w:tr>
      <w:tr>
        <w:tblPrEx>
          <w:shd w:val="clear" w:color="auto" w:fill="auto"/>
          <w:tblCellMar>
            <w:top w:w="0" w:type="dxa"/>
            <w:left w:w="0" w:type="dxa"/>
            <w:bottom w:w="0" w:type="dxa"/>
            <w:right w:w="0" w:type="dxa"/>
          </w:tblCellMar>
        </w:tblPrEx>
        <w:trPr>
          <w:trHeight w:val="16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000723.SZ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美锦能源</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6.44</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目前公司已在粤港澳大湾区控股国内最大的氢然料客车厂</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飞驰汽车，通过参股公司控股膜电极厂商</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鸿基创能，并在佛山市投运一座加氢站。</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24304376273.24</w:t>
            </w:r>
          </w:p>
        </w:tc>
      </w:tr>
      <w:tr>
        <w:tblPrEx>
          <w:tblCellMar>
            <w:top w:w="0" w:type="dxa"/>
            <w:left w:w="0" w:type="dxa"/>
            <w:bottom w:w="0" w:type="dxa"/>
            <w:right w:w="0" w:type="dxa"/>
          </w:tblCellMar>
        </w:tblPrEx>
        <w:trPr>
          <w:trHeight w:val="16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300471.SZ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厚普股份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12.30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1.65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年年报披露：公司氢能项目全年订单（合同</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中标）总金额约</w:t>
            </w:r>
            <w:r>
              <w:rPr>
                <w:rFonts w:hint="default" w:ascii="Arial" w:hAnsi="Arial" w:eastAsia="宋体" w:cs="Arial"/>
                <w:i w:val="0"/>
                <w:color w:val="152122"/>
                <w:kern w:val="0"/>
                <w:sz w:val="22"/>
                <w:szCs w:val="22"/>
                <w:u w:val="none"/>
                <w:lang w:val="en-US" w:eastAsia="zh-CN" w:bidi="ar"/>
              </w:rPr>
              <w:t>4,500</w:t>
            </w:r>
            <w:r>
              <w:rPr>
                <w:rFonts w:hint="eastAsia" w:ascii="宋体" w:hAnsi="宋体" w:eastAsia="宋体" w:cs="宋体"/>
                <w:i w:val="0"/>
                <w:color w:val="152122"/>
                <w:kern w:val="0"/>
                <w:sz w:val="22"/>
                <w:szCs w:val="22"/>
                <w:u w:val="none"/>
                <w:lang w:val="en-US" w:eastAsia="zh-CN" w:bidi="ar"/>
              </w:rPr>
              <w:t>万元，为公司积极推动国内氢能源市场打下了的基础。</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2967952435.80</w:t>
            </w:r>
          </w:p>
        </w:tc>
      </w:tr>
      <w:tr>
        <w:tblPrEx>
          <w:shd w:val="clear" w:color="auto" w:fill="auto"/>
          <w:tblCellMar>
            <w:top w:w="0" w:type="dxa"/>
            <w:left w:w="0" w:type="dxa"/>
            <w:bottom w:w="0" w:type="dxa"/>
            <w:right w:w="0" w:type="dxa"/>
          </w:tblCellMar>
        </w:tblPrEx>
        <w:trPr>
          <w:trHeight w:val="18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603113.SH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金能科技</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13.56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11</w:t>
            </w:r>
            <w:r>
              <w:rPr>
                <w:rFonts w:hint="eastAsia" w:ascii="宋体" w:hAnsi="宋体" w:eastAsia="宋体" w:cs="宋体"/>
                <w:i w:val="0"/>
                <w:color w:val="152122"/>
                <w:kern w:val="0"/>
                <w:sz w:val="22"/>
                <w:szCs w:val="22"/>
                <w:u w:val="none"/>
                <w:lang w:val="en-US" w:eastAsia="zh-CN" w:bidi="ar"/>
              </w:rPr>
              <w:t>日互动平台回复称公司拟投资</w:t>
            </w:r>
            <w:r>
              <w:rPr>
                <w:rFonts w:hint="default" w:ascii="Arial" w:hAnsi="Arial" w:eastAsia="宋体" w:cs="Arial"/>
                <w:i w:val="0"/>
                <w:color w:val="152122"/>
                <w:kern w:val="0"/>
                <w:sz w:val="22"/>
                <w:szCs w:val="22"/>
                <w:u w:val="none"/>
                <w:lang w:val="en-US" w:eastAsia="zh-CN" w:bidi="ar"/>
              </w:rPr>
              <w:t>203</w:t>
            </w:r>
            <w:r>
              <w:rPr>
                <w:rFonts w:hint="eastAsia" w:ascii="宋体" w:hAnsi="宋体" w:eastAsia="宋体" w:cs="宋体"/>
                <w:i w:val="0"/>
                <w:color w:val="152122"/>
                <w:kern w:val="0"/>
                <w:sz w:val="22"/>
                <w:szCs w:val="22"/>
                <w:u w:val="none"/>
                <w:lang w:val="en-US" w:eastAsia="zh-CN" w:bidi="ar"/>
              </w:rPr>
              <w:t>亿元在青岛建设新材料与氢能源综合利用项目，该项目由丙烷脱氢制丙烯及绿色炭黑、</w:t>
            </w:r>
            <w:r>
              <w:rPr>
                <w:rFonts w:hint="default" w:ascii="Arial" w:hAnsi="Arial" w:eastAsia="宋体" w:cs="Arial"/>
                <w:i w:val="0"/>
                <w:color w:val="152122"/>
                <w:kern w:val="0"/>
                <w:sz w:val="22"/>
                <w:szCs w:val="22"/>
                <w:u w:val="none"/>
                <w:lang w:val="en-US" w:eastAsia="zh-CN" w:bidi="ar"/>
              </w:rPr>
              <w:t>MMA</w:t>
            </w:r>
            <w:r>
              <w:rPr>
                <w:rFonts w:hint="eastAsia" w:ascii="宋体" w:hAnsi="宋体" w:eastAsia="宋体" w:cs="宋体"/>
                <w:i w:val="0"/>
                <w:color w:val="152122"/>
                <w:kern w:val="0"/>
                <w:sz w:val="22"/>
                <w:szCs w:val="22"/>
                <w:u w:val="none"/>
                <w:lang w:val="en-US" w:eastAsia="zh-CN" w:bidi="ar"/>
              </w:rPr>
              <w:t>等系列项目组成，其中正在建设中的丙烷脱氢项目副产氢气。</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9165899072.04</w:t>
            </w:r>
          </w:p>
        </w:tc>
      </w:tr>
      <w:tr>
        <w:tblPrEx>
          <w:shd w:val="clear" w:color="auto" w:fill="auto"/>
          <w:tblCellMar>
            <w:top w:w="0" w:type="dxa"/>
            <w:left w:w="0" w:type="dxa"/>
            <w:bottom w:w="0" w:type="dxa"/>
            <w:right w:w="0" w:type="dxa"/>
          </w:tblCellMar>
        </w:tblPrEx>
        <w:trPr>
          <w:trHeight w:val="14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002971.SZ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和远气体</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22.53</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1.49</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13</w:t>
            </w:r>
            <w:r>
              <w:rPr>
                <w:rFonts w:hint="eastAsia" w:ascii="宋体" w:hAnsi="宋体" w:eastAsia="宋体" w:cs="宋体"/>
                <w:i w:val="0"/>
                <w:color w:val="152122"/>
                <w:kern w:val="0"/>
                <w:sz w:val="22"/>
                <w:szCs w:val="22"/>
                <w:u w:val="none"/>
                <w:lang w:val="en-US" w:eastAsia="zh-CN" w:bidi="ar"/>
              </w:rPr>
              <w:t>日公司在互动平台称：公司目前主要是工业尾气回收提纯得到高纯氢气。可以用到燃料电池领域。</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901200000.00</w:t>
            </w:r>
          </w:p>
        </w:tc>
      </w:tr>
      <w:tr>
        <w:tblPrEx>
          <w:shd w:val="clear" w:color="auto" w:fill="auto"/>
          <w:tblCellMar>
            <w:top w:w="0" w:type="dxa"/>
            <w:left w:w="0" w:type="dxa"/>
            <w:bottom w:w="0" w:type="dxa"/>
            <w:right w:w="0" w:type="dxa"/>
          </w:tblCellMar>
        </w:tblPrEx>
        <w:trPr>
          <w:trHeight w:val="15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002733.SZ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雄韬股份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18.73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公司湖北建设两个加氢站，汉南加氢站正在建设中，目前基本完工；大同建设两个加氢站，第一座加氢站已经开工建设并于近期开始运营</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6172352995.29</w:t>
            </w:r>
          </w:p>
        </w:tc>
      </w:tr>
      <w:tr>
        <w:tblPrEx>
          <w:shd w:val="clear" w:color="auto" w:fill="auto"/>
          <w:tblCellMar>
            <w:top w:w="0" w:type="dxa"/>
            <w:left w:w="0" w:type="dxa"/>
            <w:bottom w:w="0" w:type="dxa"/>
            <w:right w:w="0" w:type="dxa"/>
          </w:tblCellMar>
        </w:tblPrEx>
        <w:trPr>
          <w:trHeight w:val="24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300435.SZ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中泰股份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15.39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深冷装备龙头，掌握氢气提纯核心技术。公司</w:t>
            </w: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23</w:t>
            </w:r>
            <w:r>
              <w:rPr>
                <w:rFonts w:hint="eastAsia" w:ascii="宋体" w:hAnsi="宋体" w:eastAsia="宋体" w:cs="宋体"/>
                <w:i w:val="0"/>
                <w:color w:val="152122"/>
                <w:kern w:val="0"/>
                <w:sz w:val="22"/>
                <w:szCs w:val="22"/>
                <w:u w:val="none"/>
                <w:lang w:val="en-US" w:eastAsia="zh-CN" w:bidi="ar"/>
              </w:rPr>
              <w:t>日在互动平台上对此表示，燃料电池方面，公司具备制氢技术以及业绩，可以提供高纯度的氢原料。重组成功后，公司可借助中邑然气成熟的加气站待氢能市场化应用技术成熟时迅速切入加氢站的建设及运营。</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3501450432.72</w:t>
            </w:r>
          </w:p>
        </w:tc>
      </w:tr>
      <w:tr>
        <w:tblPrEx>
          <w:shd w:val="clear" w:color="auto" w:fill="auto"/>
          <w:tblCellMar>
            <w:top w:w="0" w:type="dxa"/>
            <w:left w:w="0" w:type="dxa"/>
            <w:bottom w:w="0" w:type="dxa"/>
            <w:right w:w="0" w:type="dxa"/>
          </w:tblCellMar>
        </w:tblPrEx>
        <w:trPr>
          <w:trHeight w:val="9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002274.SZ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华昌化工</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4.58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1.33</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华昌化工：</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年政府报批了加氢站项目，并且公司有制氢等技术。</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4296036015.40</w:t>
            </w:r>
          </w:p>
        </w:tc>
      </w:tr>
      <w:tr>
        <w:tblPrEx>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603776.SH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永安行</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18.72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1.19</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30</w:t>
            </w:r>
            <w:r>
              <w:rPr>
                <w:rFonts w:hint="eastAsia" w:ascii="宋体" w:hAnsi="宋体" w:eastAsia="宋体" w:cs="宋体"/>
                <w:i w:val="0"/>
                <w:color w:val="152122"/>
                <w:kern w:val="0"/>
                <w:sz w:val="22"/>
                <w:szCs w:val="22"/>
                <w:u w:val="none"/>
                <w:lang w:val="en-US" w:eastAsia="zh-CN" w:bidi="ar"/>
              </w:rPr>
              <w:t>日在互动平台上表示已申请多项氢能源相关专利，如氢燃料电池管理系统及其控制方法、氢能源助力车控制系统及其控制方法、氢能源助力车中控系统及其控制方法、氢能源助力车等相关发明专利。</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3511497600.00</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300325.SZ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德威新材</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3.52</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1.15</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日公告披露：公司与苏州大学于</w:t>
            </w: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日签订了《氢能研究所共建协议》，协议双方经友好协商，决定在互惠共赢，优势互补的基础上进行紧密而长期的合作，共同建设</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德威新材</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苏州大学氢能研究所</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3507798863.36</w:t>
            </w:r>
          </w:p>
        </w:tc>
      </w:tr>
      <w:tr>
        <w:tblPrEx>
          <w:shd w:val="clear" w:color="auto" w:fill="auto"/>
          <w:tblCellMar>
            <w:top w:w="0" w:type="dxa"/>
            <w:left w:w="0" w:type="dxa"/>
            <w:bottom w:w="0" w:type="dxa"/>
            <w:right w:w="0" w:type="dxa"/>
          </w:tblCellMar>
        </w:tblPrEx>
        <w:trPr>
          <w:trHeight w:val="13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600379.SH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宝光股份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5.66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1.07</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日互动平台称，目前子公司精密陶瓷为陕西省乃至西北地区少数生产、销售氢气的企业之一。</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1868940852.24</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002549.SZ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凯美特气</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6.66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以中国石化海南炼油化工有限公司制氢</w:t>
            </w:r>
            <w:r>
              <w:rPr>
                <w:rFonts w:hint="default" w:ascii="Arial" w:hAnsi="Arial" w:eastAsia="宋体" w:cs="Arial"/>
                <w:i w:val="0"/>
                <w:color w:val="152122"/>
                <w:kern w:val="0"/>
                <w:sz w:val="22"/>
                <w:szCs w:val="22"/>
                <w:u w:val="none"/>
                <w:lang w:val="en-US" w:eastAsia="zh-CN" w:bidi="ar"/>
              </w:rPr>
              <w:t>PSA</w:t>
            </w:r>
            <w:r>
              <w:rPr>
                <w:rFonts w:hint="eastAsia" w:ascii="宋体" w:hAnsi="宋体" w:eastAsia="宋体" w:cs="宋体"/>
                <w:i w:val="0"/>
                <w:color w:val="152122"/>
                <w:kern w:val="0"/>
                <w:sz w:val="22"/>
                <w:szCs w:val="22"/>
                <w:u w:val="none"/>
                <w:lang w:val="en-US" w:eastAsia="zh-CN" w:bidi="ar"/>
              </w:rPr>
              <w:t>尾气，</w:t>
            </w:r>
            <w:r>
              <w:rPr>
                <w:rFonts w:hint="default" w:ascii="Arial" w:hAnsi="Arial" w:eastAsia="宋体" w:cs="Arial"/>
                <w:i w:val="0"/>
                <w:color w:val="152122"/>
                <w:kern w:val="0"/>
                <w:sz w:val="22"/>
                <w:szCs w:val="22"/>
                <w:u w:val="none"/>
                <w:lang w:val="en-US" w:eastAsia="zh-CN" w:bidi="ar"/>
              </w:rPr>
              <w:t>PX</w:t>
            </w:r>
            <w:r>
              <w:rPr>
                <w:rFonts w:hint="eastAsia" w:ascii="宋体" w:hAnsi="宋体" w:eastAsia="宋体" w:cs="宋体"/>
                <w:i w:val="0"/>
                <w:color w:val="152122"/>
                <w:kern w:val="0"/>
                <w:sz w:val="22"/>
                <w:szCs w:val="22"/>
                <w:u w:val="none"/>
                <w:lang w:val="en-US" w:eastAsia="zh-CN" w:bidi="ar"/>
              </w:rPr>
              <w:t>异构化排放氢，气柜回收干气及芳构化排放氢为原料，通过工艺尾气回收装置进行回收，分离，提纯，净化，产品为食品级二氧化碳，燃料气，转化炉用燃料气，氢气及氮气。</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4130764600.50</w:t>
            </w:r>
          </w:p>
        </w:tc>
      </w:tr>
      <w:tr>
        <w:tblPrEx>
          <w:tblCellMar>
            <w:top w:w="0" w:type="dxa"/>
            <w:left w:w="0" w:type="dxa"/>
            <w:bottom w:w="0" w:type="dxa"/>
            <w:right w:w="0" w:type="dxa"/>
          </w:tblCellMar>
        </w:tblPrEx>
        <w:trPr>
          <w:trHeight w:val="32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000637.SZ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茂化实华</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4.38</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0.92</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通过北京水木扬帆创业投资中心（有限合伙）间接持股氢燃料龙头企业亿华通。亿华通是中国首家燃料电池发动机生产商，在近期工信部公示的《道路机动车辆生产企业及产品公告》燃料电池供应商列全国第一，在</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年氢燃料电池车装配量全国第二。</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9</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日亿华通、中石油、张家口交投联手在张家口地区布局加氢站组网建设并承担相应示范运营及日常管理。</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1605247955.46</w:t>
            </w:r>
          </w:p>
        </w:tc>
      </w:tr>
      <w:tr>
        <w:tblPrEx>
          <w:tblCellMar>
            <w:top w:w="0" w:type="dxa"/>
            <w:left w:w="0" w:type="dxa"/>
            <w:bottom w:w="0" w:type="dxa"/>
            <w:right w:w="0" w:type="dxa"/>
          </w:tblCellMar>
        </w:tblPrEx>
        <w:trPr>
          <w:trHeight w:val="38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603906.SH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龙蟠科技</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25.97</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0.89</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日公告显示：公司拟设立全资子公司江苏铂炭氢能源科技有限公司。公司出资</w:t>
            </w:r>
            <w:r>
              <w:rPr>
                <w:rFonts w:hint="default" w:ascii="Arial" w:hAnsi="Arial" w:eastAsia="宋体" w:cs="Arial"/>
                <w:i w:val="0"/>
                <w:color w:val="152122"/>
                <w:kern w:val="0"/>
                <w:sz w:val="22"/>
                <w:szCs w:val="22"/>
                <w:u w:val="none"/>
                <w:lang w:val="en-US" w:eastAsia="zh-CN" w:bidi="ar"/>
              </w:rPr>
              <w:t xml:space="preserve"> 10,000 </w:t>
            </w:r>
            <w:r>
              <w:rPr>
                <w:rFonts w:hint="eastAsia" w:ascii="宋体" w:hAnsi="宋体" w:eastAsia="宋体" w:cs="宋体"/>
                <w:i w:val="0"/>
                <w:color w:val="152122"/>
                <w:kern w:val="0"/>
                <w:sz w:val="22"/>
                <w:szCs w:val="22"/>
                <w:u w:val="none"/>
                <w:lang w:val="en-US" w:eastAsia="zh-CN" w:bidi="ar"/>
              </w:rPr>
              <w:t>万元，龙蟠科技</w:t>
            </w:r>
            <w:r>
              <w:rPr>
                <w:rFonts w:hint="default" w:ascii="Arial" w:hAnsi="Arial" w:eastAsia="宋体" w:cs="Arial"/>
                <w:i w:val="0"/>
                <w:color w:val="152122"/>
                <w:kern w:val="0"/>
                <w:sz w:val="22"/>
                <w:szCs w:val="22"/>
                <w:u w:val="none"/>
                <w:lang w:val="en-US" w:eastAsia="zh-CN" w:bidi="ar"/>
              </w:rPr>
              <w:t xml:space="preserve"> 100%</w:t>
            </w:r>
            <w:r>
              <w:rPr>
                <w:rFonts w:hint="eastAsia" w:ascii="宋体" w:hAnsi="宋体" w:eastAsia="宋体" w:cs="宋体"/>
                <w:i w:val="0"/>
                <w:color w:val="152122"/>
                <w:kern w:val="0"/>
                <w:sz w:val="22"/>
                <w:szCs w:val="22"/>
                <w:u w:val="none"/>
                <w:lang w:val="en-US" w:eastAsia="zh-CN" w:bidi="ar"/>
              </w:rPr>
              <w:t>持股。</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本次设立子公司，是公司结合自身实际，围绕汽车产业发展，逐步实现战略布局所做出的决策，在实施过程中可能面临市场风险。氢燃料电池汽车是新能源汽车未来发展方向，但是我国氢燃料电池汽车的销量仍处于起步阶段，尽管增速较大，但销售规模仍较小，市场保有量低，占汽车销售总量的比例较小。</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8527481074.49</w:t>
            </w:r>
          </w:p>
        </w:tc>
      </w:tr>
      <w:tr>
        <w:tblPrEx>
          <w:shd w:val="clear" w:color="auto" w:fill="auto"/>
          <w:tblCellMar>
            <w:top w:w="0" w:type="dxa"/>
            <w:left w:w="0" w:type="dxa"/>
            <w:bottom w:w="0" w:type="dxa"/>
            <w:right w:w="0" w:type="dxa"/>
          </w:tblCellMar>
        </w:tblPrEx>
        <w:trPr>
          <w:trHeight w:val="14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002221.SZ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东华能源</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10.23</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0.89</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子公司东华汽车和江苏港城共同成立江苏东华港城氢能源科技有限公司，东华港城加氢站是目前江苏地区首个商业化运营加氢站。</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15669401422.62</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002648.SZ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卫星石化</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26.55</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0.84</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卫星石化</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日晚间公告，公司设立浙江卫星氢能科技有限公司，更好地发挥丙烷脱氢、乙烷裂解的清洁工艺优势，将生产过程中富余的氢气，开展氢能源业务拓展、参与氢能利用技术开发、寻求加氢站建设</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28253150799.30</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603698.SH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航天工程</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10.87</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0.84</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公司投资设立安徽昊源航天气体科技有限公司。气体公司将发挥股东双方在煤炭清洁利用、气体运营方面的专业优势和经验，开展煤制合成气、氢能源、公用工程、三废资源化利用等业务的技术研发及运营，</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5826211300.00</w:t>
            </w:r>
          </w:p>
        </w:tc>
      </w:tr>
      <w:tr>
        <w:tblPrEx>
          <w:shd w:val="clear" w:color="auto" w:fill="auto"/>
          <w:tblCellMar>
            <w:top w:w="0" w:type="dxa"/>
            <w:left w:w="0" w:type="dxa"/>
            <w:bottom w:w="0" w:type="dxa"/>
            <w:right w:w="0" w:type="dxa"/>
          </w:tblCellMar>
        </w:tblPrEx>
        <w:trPr>
          <w:trHeight w:val="16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600803.SH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新奥股份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14.12</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0.71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公司控股子公司新能能源</w:t>
            </w:r>
            <w:r>
              <w:rPr>
                <w:rFonts w:hint="default" w:ascii="Arial" w:hAnsi="Arial" w:eastAsia="宋体" w:cs="Arial"/>
                <w:i w:val="0"/>
                <w:color w:val="152122"/>
                <w:kern w:val="0"/>
                <w:sz w:val="22"/>
                <w:szCs w:val="22"/>
                <w:u w:val="none"/>
                <w:lang w:val="en-US" w:eastAsia="zh-CN" w:bidi="ar"/>
              </w:rPr>
              <w:t xml:space="preserve"> 20 </w:t>
            </w:r>
            <w:r>
              <w:rPr>
                <w:rFonts w:hint="eastAsia" w:ascii="宋体" w:hAnsi="宋体" w:eastAsia="宋体" w:cs="宋体"/>
                <w:i w:val="0"/>
                <w:color w:val="152122"/>
                <w:kern w:val="0"/>
                <w:sz w:val="22"/>
                <w:szCs w:val="22"/>
                <w:u w:val="none"/>
                <w:lang w:val="en-US" w:eastAsia="zh-CN" w:bidi="ar"/>
              </w:rPr>
              <w:t>万吨</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年稳定轻烃项目</w:t>
            </w:r>
            <w:r>
              <w:rPr>
                <w:rFonts w:hint="default" w:ascii="Arial" w:hAnsi="Arial" w:eastAsia="宋体" w:cs="Arial"/>
                <w:i w:val="0"/>
                <w:color w:val="152122"/>
                <w:kern w:val="0"/>
                <w:sz w:val="22"/>
                <w:szCs w:val="22"/>
                <w:u w:val="none"/>
                <w:lang w:val="en-US" w:eastAsia="zh-CN" w:bidi="ar"/>
              </w:rPr>
              <w:t xml:space="preserve">LNG </w:t>
            </w:r>
            <w:r>
              <w:rPr>
                <w:rFonts w:hint="eastAsia" w:ascii="宋体" w:hAnsi="宋体" w:eastAsia="宋体" w:cs="宋体"/>
                <w:i w:val="0"/>
                <w:color w:val="152122"/>
                <w:kern w:val="0"/>
                <w:sz w:val="22"/>
                <w:szCs w:val="22"/>
                <w:u w:val="none"/>
                <w:lang w:val="en-US" w:eastAsia="zh-CN" w:bidi="ar"/>
              </w:rPr>
              <w:t>装置打通催化气化、加氢气化两项核心煤气化技术工艺流程，并于</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月投料试车并产出合格产品。</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17358503655.96</w:t>
            </w:r>
          </w:p>
        </w:tc>
      </w:tr>
      <w:tr>
        <w:tblPrEx>
          <w:tblCellMar>
            <w:top w:w="0" w:type="dxa"/>
            <w:left w:w="0" w:type="dxa"/>
            <w:bottom w:w="0" w:type="dxa"/>
            <w:right w:w="0" w:type="dxa"/>
          </w:tblCellMar>
        </w:tblPrEx>
        <w:trPr>
          <w:trHeight w:val="11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300179.SZ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四方达</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8.90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0.68</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公司拥有</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一种制氢</w:t>
            </w:r>
            <w:r>
              <w:rPr>
                <w:rFonts w:hint="default" w:ascii="Arial" w:hAnsi="Arial" w:eastAsia="宋体" w:cs="Arial"/>
                <w:i w:val="0"/>
                <w:color w:val="152122"/>
                <w:kern w:val="0"/>
                <w:sz w:val="22"/>
                <w:szCs w:val="22"/>
                <w:u w:val="none"/>
                <w:lang w:val="en-US" w:eastAsia="zh-CN" w:bidi="ar"/>
              </w:rPr>
              <w:t>AL</w:t>
            </w:r>
            <w:r>
              <w:rPr>
                <w:rFonts w:hint="eastAsia" w:ascii="宋体" w:hAnsi="宋体" w:eastAsia="宋体" w:cs="宋体"/>
                <w:i w:val="0"/>
                <w:color w:val="152122"/>
                <w:kern w:val="0"/>
                <w:sz w:val="22"/>
                <w:szCs w:val="22"/>
                <w:u w:val="none"/>
                <w:lang w:val="en-US" w:eastAsia="zh-CN" w:bidi="ar"/>
              </w:rPr>
              <w:t>基合金复合材料及其制备和使用方法</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的专利。</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3017333963.20</w:t>
            </w:r>
          </w:p>
        </w:tc>
      </w:tr>
      <w:tr>
        <w:tblPrEx>
          <w:shd w:val="clear" w:color="auto" w:fill="auto"/>
          <w:tblCellMar>
            <w:top w:w="0" w:type="dxa"/>
            <w:left w:w="0" w:type="dxa"/>
            <w:bottom w:w="0" w:type="dxa"/>
            <w:right w:w="0" w:type="dxa"/>
          </w:tblCellMar>
        </w:tblPrEx>
        <w:trPr>
          <w:trHeight w:val="39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600989.SH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宝丰能源</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10.93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0.65</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20</w:t>
            </w:r>
            <w:r>
              <w:rPr>
                <w:rFonts w:hint="eastAsia" w:ascii="宋体" w:hAnsi="宋体" w:eastAsia="宋体" w:cs="宋体"/>
                <w:i w:val="0"/>
                <w:color w:val="152122"/>
                <w:kern w:val="0"/>
                <w:sz w:val="22"/>
                <w:szCs w:val="22"/>
                <w:u w:val="none"/>
                <w:lang w:val="en-US" w:eastAsia="zh-CN" w:bidi="ar"/>
              </w:rPr>
              <w:t>日公司在互动平台称：公司此次开工建设的一体化太阳能电解水制氢项目是目前国内最大的一体化可再生能源制氢储能项目。项目主要包括新建</w:t>
            </w:r>
            <w:r>
              <w:rPr>
                <w:rFonts w:hint="default" w:ascii="Arial" w:hAnsi="Arial" w:eastAsia="宋体" w:cs="Arial"/>
                <w:i w:val="0"/>
                <w:color w:val="152122"/>
                <w:kern w:val="0"/>
                <w:sz w:val="22"/>
                <w:szCs w:val="22"/>
                <w:u w:val="none"/>
                <w:lang w:val="en-US" w:eastAsia="zh-CN" w:bidi="ar"/>
              </w:rPr>
              <w:t>20,000</w:t>
            </w:r>
            <w:r>
              <w:rPr>
                <w:rFonts w:hint="eastAsia" w:ascii="宋体" w:hAnsi="宋体" w:eastAsia="宋体" w:cs="宋体"/>
                <w:i w:val="0"/>
                <w:color w:val="152122"/>
                <w:kern w:val="0"/>
                <w:sz w:val="22"/>
                <w:szCs w:val="22"/>
                <w:u w:val="none"/>
                <w:lang w:val="en-US" w:eastAsia="zh-CN" w:bidi="ar"/>
              </w:rPr>
              <w:t>标方</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小时电解水制氢装置及配套公辅设施和</w:t>
            </w:r>
            <w:r>
              <w:rPr>
                <w:rFonts w:hint="default" w:ascii="Arial" w:hAnsi="Arial" w:eastAsia="宋体" w:cs="Arial"/>
                <w:i w:val="0"/>
                <w:color w:val="152122"/>
                <w:kern w:val="0"/>
                <w:sz w:val="22"/>
                <w:szCs w:val="22"/>
                <w:u w:val="none"/>
                <w:lang w:val="en-US" w:eastAsia="zh-CN" w:bidi="ar"/>
              </w:rPr>
              <w:t>200MWp</w:t>
            </w:r>
            <w:r>
              <w:rPr>
                <w:rFonts w:hint="eastAsia" w:ascii="宋体" w:hAnsi="宋体" w:eastAsia="宋体" w:cs="宋体"/>
                <w:i w:val="0"/>
                <w:color w:val="152122"/>
                <w:kern w:val="0"/>
                <w:sz w:val="22"/>
                <w:szCs w:val="22"/>
                <w:u w:val="none"/>
                <w:lang w:val="en-US" w:eastAsia="zh-CN" w:bidi="ar"/>
              </w:rPr>
              <w:t>复合型光伏电站、宁东能源中心示范站（含</w:t>
            </w:r>
            <w:r>
              <w:rPr>
                <w:rFonts w:hint="default" w:ascii="Arial" w:hAnsi="Arial" w:eastAsia="宋体" w:cs="Arial"/>
                <w:i w:val="0"/>
                <w:color w:val="152122"/>
                <w:kern w:val="0"/>
                <w:sz w:val="22"/>
                <w:szCs w:val="22"/>
                <w:u w:val="none"/>
                <w:lang w:val="en-US" w:eastAsia="zh-CN" w:bidi="ar"/>
              </w:rPr>
              <w:t>2000</w:t>
            </w:r>
            <w:r>
              <w:rPr>
                <w:rFonts w:hint="eastAsia" w:ascii="宋体" w:hAnsi="宋体" w:eastAsia="宋体" w:cs="宋体"/>
                <w:i w:val="0"/>
                <w:color w:val="152122"/>
                <w:kern w:val="0"/>
                <w:sz w:val="22"/>
                <w:szCs w:val="22"/>
                <w:u w:val="none"/>
                <w:lang w:val="en-US" w:eastAsia="zh-CN" w:bidi="ar"/>
              </w:rPr>
              <w:t>公斤</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日加氢、</w:t>
            </w:r>
            <w:r>
              <w:rPr>
                <w:rFonts w:hint="default" w:ascii="Arial" w:hAnsi="Arial" w:eastAsia="宋体" w:cs="Arial"/>
                <w:i w:val="0"/>
                <w:color w:val="152122"/>
                <w:kern w:val="0"/>
                <w:sz w:val="22"/>
                <w:szCs w:val="22"/>
                <w:u w:val="none"/>
                <w:lang w:val="en-US" w:eastAsia="zh-CN" w:bidi="ar"/>
              </w:rPr>
              <w:t>10000</w:t>
            </w:r>
            <w:r>
              <w:rPr>
                <w:rFonts w:hint="eastAsia" w:ascii="宋体" w:hAnsi="宋体" w:eastAsia="宋体" w:cs="宋体"/>
                <w:i w:val="0"/>
                <w:color w:val="152122"/>
                <w:kern w:val="0"/>
                <w:sz w:val="22"/>
                <w:szCs w:val="22"/>
                <w:u w:val="none"/>
                <w:lang w:val="en-US" w:eastAsia="zh-CN" w:bidi="ar"/>
              </w:rPr>
              <w:t>标立</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日加气、</w:t>
            </w:r>
            <w:r>
              <w:rPr>
                <w:rFonts w:hint="default" w:ascii="Arial" w:hAnsi="Arial" w:eastAsia="宋体" w:cs="Arial"/>
                <w:i w:val="0"/>
                <w:color w:val="152122"/>
                <w:kern w:val="0"/>
                <w:sz w:val="22"/>
                <w:szCs w:val="22"/>
                <w:u w:val="none"/>
                <w:lang w:val="en-US" w:eastAsia="zh-CN" w:bidi="ar"/>
              </w:rPr>
              <w:t>10000</w:t>
            </w:r>
            <w:r>
              <w:rPr>
                <w:rFonts w:hint="eastAsia" w:ascii="宋体" w:hAnsi="宋体" w:eastAsia="宋体" w:cs="宋体"/>
                <w:i w:val="0"/>
                <w:color w:val="152122"/>
                <w:kern w:val="0"/>
                <w:sz w:val="22"/>
                <w:szCs w:val="22"/>
                <w:u w:val="none"/>
                <w:lang w:val="en-US" w:eastAsia="zh-CN" w:bidi="ar"/>
              </w:rPr>
              <w:t>吨</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年加油、</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个充电桩）</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座，</w:t>
            </w:r>
            <w:r>
              <w:rPr>
                <w:rFonts w:hint="default" w:ascii="Arial" w:hAnsi="Arial" w:eastAsia="宋体" w:cs="Arial"/>
                <w:i w:val="0"/>
                <w:color w:val="152122"/>
                <w:kern w:val="0"/>
                <w:sz w:val="22"/>
                <w:szCs w:val="22"/>
                <w:u w:val="none"/>
                <w:lang w:val="en-US" w:eastAsia="zh-CN" w:bidi="ar"/>
              </w:rPr>
              <w:t>1000</w:t>
            </w:r>
            <w:r>
              <w:rPr>
                <w:rFonts w:hint="eastAsia" w:ascii="宋体" w:hAnsi="宋体" w:eastAsia="宋体" w:cs="宋体"/>
                <w:i w:val="0"/>
                <w:color w:val="152122"/>
                <w:kern w:val="0"/>
                <w:sz w:val="22"/>
                <w:szCs w:val="22"/>
                <w:u w:val="none"/>
                <w:lang w:val="en-US" w:eastAsia="zh-CN" w:bidi="ar"/>
              </w:rPr>
              <w:t>公斤</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日加氢站</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座（银川），并将企业现有的两座油气共建站改造成油、气、氢共建示范站。</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21797371100.00</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000531.SZ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穗恒运</w:t>
            </w:r>
            <w:r>
              <w:rPr>
                <w:rFonts w:hint="default" w:ascii="Arial" w:hAnsi="Arial" w:eastAsia="宋体" w:cs="Arial"/>
                <w:i w:val="0"/>
                <w:color w:val="152122"/>
                <w:kern w:val="0"/>
                <w:sz w:val="22"/>
                <w:szCs w:val="22"/>
                <w:u w:val="none"/>
                <w:lang w:val="en-US" w:eastAsia="zh-CN" w:bidi="ar"/>
              </w:rPr>
              <w:t>A</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9.29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0.43</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年年报披露：公司加快投资建设黄埔氢能创新创业中心，推动氢能产业在黄埔区开发区聚焦发展。推进氢能公交车示范运营。推进广州雄韬氢恒公司加快生产燃料电池电堆和发动机系统。推动加氢站布局。</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6364419397.80</w:t>
            </w:r>
          </w:p>
        </w:tc>
      </w:tr>
      <w:tr>
        <w:tblPrEx>
          <w:shd w:val="clear" w:color="auto" w:fill="auto"/>
          <w:tblCellMar>
            <w:top w:w="0" w:type="dxa"/>
            <w:left w:w="0" w:type="dxa"/>
            <w:bottom w:w="0" w:type="dxa"/>
            <w:right w:w="0" w:type="dxa"/>
          </w:tblCellMar>
        </w:tblPrEx>
        <w:trPr>
          <w:trHeight w:val="13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002469.SZ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三维工程</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5.13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0.39</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公司在碳四资源综合利用、煤炭高效清洁利用、高压加氢等工程技术领域具有较强的市场竞争力。</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2354789005.74</w:t>
            </w:r>
          </w:p>
        </w:tc>
      </w:tr>
      <w:tr>
        <w:tblPrEx>
          <w:shd w:val="clear" w:color="auto" w:fill="auto"/>
          <w:tblCellMar>
            <w:top w:w="0" w:type="dxa"/>
            <w:left w:w="0" w:type="dxa"/>
            <w:bottom w:w="0" w:type="dxa"/>
            <w:right w:w="0" w:type="dxa"/>
          </w:tblCellMar>
        </w:tblPrEx>
        <w:trPr>
          <w:trHeight w:val="39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300072.SZ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三聚环保</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7.36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0.27</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三聚环保：与福州大学化肥催化剂国家工程研究中心战略合作</w:t>
            </w:r>
            <w:r>
              <w:rPr>
                <w:rFonts w:hint="default" w:ascii="Arial" w:hAnsi="Arial" w:eastAsia="宋体" w:cs="Arial"/>
                <w:i w:val="0"/>
                <w:color w:val="152122"/>
                <w:kern w:val="0"/>
                <w:sz w:val="22"/>
                <w:szCs w:val="22"/>
                <w:u w:val="none"/>
                <w:lang w:val="en-US" w:eastAsia="zh-CN" w:bidi="ar"/>
              </w:rPr>
              <w:t>e</w:t>
            </w:r>
            <w:r>
              <w:rPr>
                <w:rFonts w:hint="eastAsia" w:ascii="宋体" w:hAnsi="宋体" w:eastAsia="宋体" w:cs="宋体"/>
                <w:i w:val="0"/>
                <w:color w:val="152122"/>
                <w:kern w:val="0"/>
                <w:sz w:val="22"/>
                <w:szCs w:val="22"/>
                <w:u w:val="none"/>
                <w:lang w:val="en-US" w:eastAsia="zh-CN" w:bidi="ar"/>
              </w:rPr>
              <w:t>公司讯，三聚环保</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24</w:t>
            </w:r>
            <w:r>
              <w:rPr>
                <w:rFonts w:hint="eastAsia" w:ascii="宋体" w:hAnsi="宋体" w:eastAsia="宋体" w:cs="宋体"/>
                <w:i w:val="0"/>
                <w:color w:val="152122"/>
                <w:kern w:val="0"/>
                <w:sz w:val="22"/>
                <w:szCs w:val="22"/>
                <w:u w:val="none"/>
                <w:lang w:val="en-US" w:eastAsia="zh-CN" w:bidi="ar"/>
              </w:rPr>
              <w:t>日晚间公告，公司与福州大学化肥催化剂国家工程研究中心签署《战略合作意向书》，双方将共同开展氨分解制氢催化剂的关键技术开发、反应器设计、成套工艺技术研发、规模化生产及应用示范；开展氨燃料示范装置系统设计及应用示范验证；基于以上研发成果，在海南、福建、内蒙古等地开展分布式加氢站布局和运营</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15966122129.92</w:t>
            </w:r>
          </w:p>
        </w:tc>
      </w:tr>
      <w:tr>
        <w:tblPrEx>
          <w:shd w:val="clear" w:color="auto" w:fill="auto"/>
          <w:tblCellMar>
            <w:top w:w="0" w:type="dxa"/>
            <w:left w:w="0" w:type="dxa"/>
            <w:bottom w:w="0" w:type="dxa"/>
            <w:right w:w="0" w:type="dxa"/>
          </w:tblCellMar>
        </w:tblPrEx>
        <w:trPr>
          <w:trHeight w:val="15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002498.SZ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汉缆股份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4.11</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0.24</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w:t>
            </w: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日互动平台称，公司控股股东与上海恒劲动力合作开发氢能源情况属实。</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13673131560.00</w:t>
            </w:r>
          </w:p>
        </w:tc>
      </w:tr>
      <w:tr>
        <w:tblPrEx>
          <w:shd w:val="clear" w:color="auto" w:fill="auto"/>
          <w:tblCellMar>
            <w:top w:w="0" w:type="dxa"/>
            <w:left w:w="0" w:type="dxa"/>
            <w:bottom w:w="0" w:type="dxa"/>
            <w:right w:w="0" w:type="dxa"/>
          </w:tblCellMar>
        </w:tblPrEx>
        <w:trPr>
          <w:trHeight w:val="14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300007.SZ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汉威科技</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17.67</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0.23</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28</w:t>
            </w:r>
            <w:r>
              <w:rPr>
                <w:rFonts w:hint="eastAsia" w:ascii="宋体" w:hAnsi="宋体" w:eastAsia="宋体" w:cs="宋体"/>
                <w:i w:val="0"/>
                <w:color w:val="152122"/>
                <w:kern w:val="0"/>
                <w:sz w:val="22"/>
                <w:szCs w:val="22"/>
                <w:u w:val="none"/>
                <w:lang w:val="en-US" w:eastAsia="zh-CN" w:bidi="ar"/>
              </w:rPr>
              <w:t>日互动平台回复：公司在氢能源汽车领域有部分业务产出，但整体业绩贡献还不大。</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4265734790.79</w:t>
            </w:r>
          </w:p>
        </w:tc>
      </w:tr>
      <w:tr>
        <w:tblPrEx>
          <w:shd w:val="clear" w:color="auto" w:fill="auto"/>
          <w:tblCellMar>
            <w:top w:w="0" w:type="dxa"/>
            <w:left w:w="0" w:type="dxa"/>
            <w:bottom w:w="0" w:type="dxa"/>
            <w:right w:w="0" w:type="dxa"/>
          </w:tblCellMar>
        </w:tblPrEx>
        <w:trPr>
          <w:trHeight w:val="15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300091.SZ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金通灵</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4.82</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0.21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17</w:t>
            </w:r>
            <w:r>
              <w:rPr>
                <w:rFonts w:hint="eastAsia" w:ascii="宋体" w:hAnsi="宋体" w:eastAsia="宋体" w:cs="宋体"/>
                <w:i w:val="0"/>
                <w:color w:val="152122"/>
                <w:kern w:val="0"/>
                <w:sz w:val="22"/>
                <w:szCs w:val="22"/>
                <w:u w:val="none"/>
                <w:lang w:val="en-US" w:eastAsia="zh-CN" w:bidi="ar"/>
              </w:rPr>
              <w:t>日公告与黑龙江省安达市人民政府等签订了《安达市</w:t>
            </w:r>
            <w:r>
              <w:rPr>
                <w:rFonts w:hint="default" w:ascii="Arial" w:hAnsi="Arial" w:eastAsia="宋体" w:cs="Arial"/>
                <w:i w:val="0"/>
                <w:color w:val="152122"/>
                <w:kern w:val="0"/>
                <w:sz w:val="22"/>
                <w:szCs w:val="22"/>
                <w:u w:val="none"/>
                <w:lang w:val="en-US" w:eastAsia="zh-CN" w:bidi="ar"/>
              </w:rPr>
              <w:t>2×1</w:t>
            </w:r>
            <w:r>
              <w:rPr>
                <w:rFonts w:hint="eastAsia" w:ascii="宋体" w:hAnsi="宋体" w:eastAsia="宋体" w:cs="宋体"/>
                <w:i w:val="0"/>
                <w:color w:val="152122"/>
                <w:kern w:val="0"/>
                <w:sz w:val="22"/>
                <w:szCs w:val="22"/>
                <w:u w:val="none"/>
                <w:lang w:val="en-US" w:eastAsia="zh-CN" w:bidi="ar"/>
              </w:rPr>
              <w:t>亿立方生物质天然气提氢项目合作协议》。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4763611393.58</w:t>
            </w:r>
          </w:p>
        </w:tc>
      </w:tr>
      <w:tr>
        <w:tblPrEx>
          <w:shd w:val="clear" w:color="auto" w:fill="auto"/>
          <w:tblCellMar>
            <w:top w:w="0" w:type="dxa"/>
            <w:left w:w="0" w:type="dxa"/>
            <w:bottom w:w="0" w:type="dxa"/>
            <w:right w:w="0" w:type="dxa"/>
          </w:tblCellMar>
        </w:tblPrEx>
        <w:trPr>
          <w:trHeight w:val="36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002427.SZ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尤夫</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4.92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0.20</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年半年报披露：公司于</w:t>
            </w:r>
            <w:r>
              <w:rPr>
                <w:rFonts w:hint="default" w:ascii="Arial" w:hAnsi="Arial" w:eastAsia="宋体" w:cs="Arial"/>
                <w:i w:val="0"/>
                <w:color w:val="152122"/>
                <w:kern w:val="0"/>
                <w:sz w:val="22"/>
                <w:szCs w:val="22"/>
                <w:u w:val="none"/>
                <w:lang w:val="en-US" w:eastAsia="zh-CN" w:bidi="ar"/>
              </w:rPr>
              <w:t>2017</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月投资武汉众宇</w:t>
            </w:r>
            <w:r>
              <w:rPr>
                <w:rFonts w:hint="default" w:ascii="Arial" w:hAnsi="Arial" w:eastAsia="宋体" w:cs="Arial"/>
                <w:i w:val="0"/>
                <w:color w:val="152122"/>
                <w:kern w:val="0"/>
                <w:sz w:val="22"/>
                <w:szCs w:val="22"/>
                <w:u w:val="none"/>
                <w:lang w:val="en-US" w:eastAsia="zh-CN" w:bidi="ar"/>
              </w:rPr>
              <w:t>25%</w:t>
            </w:r>
            <w:r>
              <w:rPr>
                <w:rFonts w:hint="eastAsia" w:ascii="宋体" w:hAnsi="宋体" w:eastAsia="宋体" w:cs="宋体"/>
                <w:i w:val="0"/>
                <w:color w:val="152122"/>
                <w:kern w:val="0"/>
                <w:sz w:val="22"/>
                <w:szCs w:val="22"/>
                <w:u w:val="none"/>
                <w:lang w:val="en-US" w:eastAsia="zh-CN" w:bidi="ar"/>
              </w:rPr>
              <w:t>的股权，以实现氢燃料电池产业的布局。武汉众宇于</w:t>
            </w:r>
            <w:r>
              <w:rPr>
                <w:rFonts w:hint="default" w:ascii="Arial" w:hAnsi="Arial" w:eastAsia="宋体" w:cs="Arial"/>
                <w:i w:val="0"/>
                <w:color w:val="152122"/>
                <w:kern w:val="0"/>
                <w:sz w:val="22"/>
                <w:szCs w:val="22"/>
                <w:u w:val="none"/>
                <w:lang w:val="en-US" w:eastAsia="zh-CN" w:bidi="ar"/>
              </w:rPr>
              <w:t>2011</w:t>
            </w:r>
            <w:r>
              <w:rPr>
                <w:rFonts w:hint="eastAsia" w:ascii="宋体" w:hAnsi="宋体" w:eastAsia="宋体" w:cs="宋体"/>
                <w:i w:val="0"/>
                <w:color w:val="152122"/>
                <w:kern w:val="0"/>
                <w:sz w:val="22"/>
                <w:szCs w:val="22"/>
                <w:u w:val="none"/>
                <w:lang w:val="en-US" w:eastAsia="zh-CN" w:bidi="ar"/>
              </w:rPr>
              <w:t>年成立，主营业务为燃料电池电堆及系统方面的产品开发、生产、销售以及技术服务，是一家具备</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制氢、气体压缩、氢燃料电池系统及核心部件</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技术，在氢能产业链上覆盖较广的高新技术企业，主要产品为燃料电池无人机动力系统、燃料电池电堆、</w:t>
            </w:r>
            <w:r>
              <w:rPr>
                <w:rFonts w:hint="default" w:ascii="Arial" w:hAnsi="Arial" w:eastAsia="宋体" w:cs="Arial"/>
                <w:i w:val="0"/>
                <w:color w:val="152122"/>
                <w:kern w:val="0"/>
                <w:sz w:val="22"/>
                <w:szCs w:val="22"/>
                <w:u w:val="none"/>
                <w:lang w:val="en-US" w:eastAsia="zh-CN" w:bidi="ar"/>
              </w:rPr>
              <w:t>41KW</w:t>
            </w:r>
            <w:r>
              <w:rPr>
                <w:rFonts w:hint="eastAsia" w:ascii="宋体" w:hAnsi="宋体" w:eastAsia="宋体" w:cs="宋体"/>
                <w:i w:val="0"/>
                <w:color w:val="152122"/>
                <w:kern w:val="0"/>
                <w:sz w:val="22"/>
                <w:szCs w:val="22"/>
                <w:u w:val="none"/>
                <w:lang w:val="en-US" w:eastAsia="zh-CN" w:bidi="ar"/>
              </w:rPr>
              <w:t>、</w:t>
            </w:r>
            <w:r>
              <w:rPr>
                <w:rFonts w:hint="default" w:ascii="Arial" w:hAnsi="Arial" w:eastAsia="宋体" w:cs="Arial"/>
                <w:i w:val="0"/>
                <w:color w:val="152122"/>
                <w:kern w:val="0"/>
                <w:sz w:val="22"/>
                <w:szCs w:val="22"/>
                <w:u w:val="none"/>
                <w:lang w:val="en-US" w:eastAsia="zh-CN" w:bidi="ar"/>
              </w:rPr>
              <w:t>60KW</w:t>
            </w:r>
            <w:r>
              <w:rPr>
                <w:rFonts w:hint="eastAsia" w:ascii="宋体" w:hAnsi="宋体" w:eastAsia="宋体" w:cs="宋体"/>
                <w:i w:val="0"/>
                <w:color w:val="152122"/>
                <w:kern w:val="0"/>
                <w:sz w:val="22"/>
                <w:szCs w:val="22"/>
                <w:u w:val="none"/>
                <w:lang w:val="en-US" w:eastAsia="zh-CN" w:bidi="ar"/>
              </w:rPr>
              <w:t>车用燃料电池动力系统等。</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2150054213.88</w:t>
            </w:r>
          </w:p>
        </w:tc>
      </w:tr>
      <w:tr>
        <w:tblPrEx>
          <w:tblCellMar>
            <w:top w:w="0" w:type="dxa"/>
            <w:left w:w="0" w:type="dxa"/>
            <w:bottom w:w="0" w:type="dxa"/>
            <w:right w:w="0" w:type="dxa"/>
          </w:tblCellMar>
        </w:tblPrEx>
        <w:trPr>
          <w:trHeight w:val="25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000990.SZ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诚志股份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13.78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0.15</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年半年报披露：公司与</w:t>
            </w:r>
            <w:r>
              <w:rPr>
                <w:rFonts w:hint="default" w:ascii="Arial" w:hAnsi="Arial" w:eastAsia="宋体" w:cs="Arial"/>
                <w:i w:val="0"/>
                <w:color w:val="152122"/>
                <w:kern w:val="0"/>
                <w:sz w:val="22"/>
                <w:szCs w:val="22"/>
                <w:u w:val="none"/>
                <w:lang w:val="en-US" w:eastAsia="zh-CN" w:bidi="ar"/>
              </w:rPr>
              <w:t>AP</w:t>
            </w:r>
            <w:r>
              <w:rPr>
                <w:rFonts w:hint="eastAsia" w:ascii="宋体" w:hAnsi="宋体" w:eastAsia="宋体" w:cs="宋体"/>
                <w:i w:val="0"/>
                <w:color w:val="152122"/>
                <w:kern w:val="0"/>
                <w:sz w:val="22"/>
                <w:szCs w:val="22"/>
                <w:u w:val="none"/>
                <w:lang w:val="en-US" w:eastAsia="zh-CN" w:bidi="ar"/>
              </w:rPr>
              <w:t>合资设立的诚志氢能源与江苏省常熟市高新区政府签订了加快建设常熟首座加氢站及区域投资运营中心的协议，该子公司将利用常熟区域优势加快建成样板式的加氢站，进一步推广相关业务，为在江苏苏州、无锡，安徽铜陵等地布点打好基础。</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11492865753.98</w:t>
            </w:r>
          </w:p>
        </w:tc>
      </w:tr>
      <w:tr>
        <w:tblPrEx>
          <w:shd w:val="clear" w:color="auto" w:fill="auto"/>
          <w:tblCellMar>
            <w:top w:w="0" w:type="dxa"/>
            <w:left w:w="0" w:type="dxa"/>
            <w:bottom w:w="0" w:type="dxa"/>
            <w:right w:w="0" w:type="dxa"/>
          </w:tblCellMar>
        </w:tblPrEx>
        <w:trPr>
          <w:trHeight w:val="43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600218.SH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全柴动力</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9.55</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0.11</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13</w:t>
            </w:r>
            <w:r>
              <w:rPr>
                <w:rFonts w:hint="eastAsia" w:ascii="宋体" w:hAnsi="宋体" w:eastAsia="宋体" w:cs="宋体"/>
                <w:i w:val="0"/>
                <w:color w:val="152122"/>
                <w:kern w:val="0"/>
                <w:sz w:val="22"/>
                <w:szCs w:val="22"/>
                <w:u w:val="none"/>
                <w:lang w:val="en-US" w:eastAsia="zh-CN" w:bidi="ar"/>
              </w:rPr>
              <w:t>日公告披露：公司拟与全椒全瑞、中氢科技共同出资设立</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安徽中能元隽氢能科技股份有限公司</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，三方于</w:t>
            </w:r>
            <w:r>
              <w:rPr>
                <w:rFonts w:hint="default" w:ascii="Arial" w:hAnsi="Arial" w:eastAsia="宋体" w:cs="Arial"/>
                <w:i w:val="0"/>
                <w:color w:val="152122"/>
                <w:kern w:val="0"/>
                <w:sz w:val="22"/>
                <w:szCs w:val="22"/>
                <w:u w:val="none"/>
                <w:lang w:val="en-US" w:eastAsia="zh-CN" w:bidi="ar"/>
              </w:rPr>
              <w:t xml:space="preserve"> 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 xml:space="preserve">8 </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 xml:space="preserve"> 12 </w:t>
            </w:r>
            <w:r>
              <w:rPr>
                <w:rFonts w:hint="eastAsia" w:ascii="宋体" w:hAnsi="宋体" w:eastAsia="宋体" w:cs="宋体"/>
                <w:i w:val="0"/>
                <w:color w:val="152122"/>
                <w:kern w:val="0"/>
                <w:sz w:val="22"/>
                <w:szCs w:val="22"/>
                <w:u w:val="none"/>
                <w:lang w:val="en-US" w:eastAsia="zh-CN" w:bidi="ar"/>
              </w:rPr>
              <w:t>日共同签署了《合资协议》。中能元隽拟定注册资本</w:t>
            </w:r>
            <w:r>
              <w:rPr>
                <w:rFonts w:hint="default" w:ascii="Arial" w:hAnsi="Arial" w:eastAsia="宋体" w:cs="Arial"/>
                <w:i w:val="0"/>
                <w:color w:val="152122"/>
                <w:kern w:val="0"/>
                <w:sz w:val="22"/>
                <w:szCs w:val="22"/>
                <w:u w:val="none"/>
                <w:lang w:val="en-US" w:eastAsia="zh-CN" w:bidi="ar"/>
              </w:rPr>
              <w:t xml:space="preserve"> 1.1 </w:t>
            </w:r>
            <w:r>
              <w:rPr>
                <w:rFonts w:hint="eastAsia" w:ascii="宋体" w:hAnsi="宋体" w:eastAsia="宋体" w:cs="宋体"/>
                <w:i w:val="0"/>
                <w:color w:val="152122"/>
                <w:kern w:val="0"/>
                <w:sz w:val="22"/>
                <w:szCs w:val="22"/>
                <w:u w:val="none"/>
                <w:lang w:val="en-US" w:eastAsia="zh-CN" w:bidi="ar"/>
              </w:rPr>
              <w:t>亿元。公司拟以现金</w:t>
            </w:r>
            <w:r>
              <w:rPr>
                <w:rFonts w:hint="default" w:ascii="Arial" w:hAnsi="Arial" w:eastAsia="宋体" w:cs="Arial"/>
                <w:i w:val="0"/>
                <w:color w:val="152122"/>
                <w:kern w:val="0"/>
                <w:sz w:val="22"/>
                <w:szCs w:val="22"/>
                <w:u w:val="none"/>
                <w:lang w:val="en-US" w:eastAsia="zh-CN" w:bidi="ar"/>
              </w:rPr>
              <w:t xml:space="preserve"> 2,000 </w:t>
            </w:r>
            <w:r>
              <w:rPr>
                <w:rFonts w:hint="eastAsia" w:ascii="宋体" w:hAnsi="宋体" w:eastAsia="宋体" w:cs="宋体"/>
                <w:i w:val="0"/>
                <w:color w:val="152122"/>
                <w:kern w:val="0"/>
                <w:sz w:val="22"/>
                <w:szCs w:val="22"/>
                <w:u w:val="none"/>
                <w:lang w:val="en-US" w:eastAsia="zh-CN" w:bidi="ar"/>
              </w:rPr>
              <w:t>万元出资，以其他资产出资</w:t>
            </w:r>
            <w:r>
              <w:rPr>
                <w:rFonts w:hint="default" w:ascii="Arial" w:hAnsi="Arial" w:eastAsia="宋体" w:cs="Arial"/>
                <w:i w:val="0"/>
                <w:color w:val="152122"/>
                <w:kern w:val="0"/>
                <w:sz w:val="22"/>
                <w:szCs w:val="22"/>
                <w:u w:val="none"/>
                <w:lang w:val="en-US" w:eastAsia="zh-CN" w:bidi="ar"/>
              </w:rPr>
              <w:t xml:space="preserve"> 4,000 </w:t>
            </w:r>
            <w:r>
              <w:rPr>
                <w:rFonts w:hint="eastAsia" w:ascii="宋体" w:hAnsi="宋体" w:eastAsia="宋体" w:cs="宋体"/>
                <w:i w:val="0"/>
                <w:color w:val="152122"/>
                <w:kern w:val="0"/>
                <w:sz w:val="22"/>
                <w:szCs w:val="22"/>
                <w:u w:val="none"/>
                <w:lang w:val="en-US" w:eastAsia="zh-CN" w:bidi="ar"/>
              </w:rPr>
              <w:t>万元（含公司控股的企业资产），合计出资</w:t>
            </w:r>
            <w:r>
              <w:rPr>
                <w:rFonts w:hint="default" w:ascii="Arial" w:hAnsi="Arial" w:eastAsia="宋体" w:cs="Arial"/>
                <w:i w:val="0"/>
                <w:color w:val="152122"/>
                <w:kern w:val="0"/>
                <w:sz w:val="22"/>
                <w:szCs w:val="22"/>
                <w:u w:val="none"/>
                <w:lang w:val="en-US" w:eastAsia="zh-CN" w:bidi="ar"/>
              </w:rPr>
              <w:t xml:space="preserve">6,000 </w:t>
            </w:r>
            <w:r>
              <w:rPr>
                <w:rFonts w:hint="eastAsia" w:ascii="宋体" w:hAnsi="宋体" w:eastAsia="宋体" w:cs="宋体"/>
                <w:i w:val="0"/>
                <w:color w:val="152122"/>
                <w:kern w:val="0"/>
                <w:sz w:val="22"/>
                <w:szCs w:val="22"/>
                <w:u w:val="none"/>
                <w:lang w:val="en-US" w:eastAsia="zh-CN" w:bidi="ar"/>
              </w:rPr>
              <w:t>万元，占公司注册资本</w:t>
            </w:r>
            <w:r>
              <w:rPr>
                <w:rFonts w:hint="default" w:ascii="Arial" w:hAnsi="Arial" w:eastAsia="宋体" w:cs="Arial"/>
                <w:i w:val="0"/>
                <w:color w:val="152122"/>
                <w:kern w:val="0"/>
                <w:sz w:val="22"/>
                <w:szCs w:val="22"/>
                <w:u w:val="none"/>
                <w:lang w:val="en-US" w:eastAsia="zh-CN" w:bidi="ar"/>
              </w:rPr>
              <w:t xml:space="preserve"> 54.55%</w:t>
            </w:r>
            <w:r>
              <w:rPr>
                <w:rFonts w:hint="eastAsia" w:ascii="宋体" w:hAnsi="宋体" w:eastAsia="宋体" w:cs="宋体"/>
                <w:i w:val="0"/>
                <w:color w:val="152122"/>
                <w:kern w:val="0"/>
                <w:sz w:val="22"/>
                <w:szCs w:val="22"/>
                <w:u w:val="none"/>
                <w:lang w:val="en-US" w:eastAsia="zh-CN" w:bidi="ar"/>
              </w:rPr>
              <w:t>；全椒全瑞现金出资</w:t>
            </w:r>
            <w:r>
              <w:rPr>
                <w:rFonts w:hint="default" w:ascii="Arial" w:hAnsi="Arial" w:eastAsia="宋体" w:cs="Arial"/>
                <w:i w:val="0"/>
                <w:color w:val="152122"/>
                <w:kern w:val="0"/>
                <w:sz w:val="22"/>
                <w:szCs w:val="22"/>
                <w:u w:val="none"/>
                <w:lang w:val="en-US" w:eastAsia="zh-CN" w:bidi="ar"/>
              </w:rPr>
              <w:t xml:space="preserve"> 2,000 </w:t>
            </w:r>
            <w:r>
              <w:rPr>
                <w:rFonts w:hint="eastAsia" w:ascii="宋体" w:hAnsi="宋体" w:eastAsia="宋体" w:cs="宋体"/>
                <w:i w:val="0"/>
                <w:color w:val="152122"/>
                <w:kern w:val="0"/>
                <w:sz w:val="22"/>
                <w:szCs w:val="22"/>
                <w:u w:val="none"/>
                <w:lang w:val="en-US" w:eastAsia="zh-CN" w:bidi="ar"/>
              </w:rPr>
              <w:t>万元，占股本</w:t>
            </w:r>
            <w:r>
              <w:rPr>
                <w:rFonts w:hint="default" w:ascii="Arial" w:hAnsi="Arial" w:eastAsia="宋体" w:cs="Arial"/>
                <w:i w:val="0"/>
                <w:color w:val="152122"/>
                <w:kern w:val="0"/>
                <w:sz w:val="22"/>
                <w:szCs w:val="22"/>
                <w:u w:val="none"/>
                <w:lang w:val="en-US" w:eastAsia="zh-CN" w:bidi="ar"/>
              </w:rPr>
              <w:t xml:space="preserve"> 18.18%</w:t>
            </w:r>
            <w:r>
              <w:rPr>
                <w:rFonts w:hint="eastAsia" w:ascii="宋体" w:hAnsi="宋体" w:eastAsia="宋体" w:cs="宋体"/>
                <w:i w:val="0"/>
                <w:color w:val="152122"/>
                <w:kern w:val="0"/>
                <w:sz w:val="22"/>
                <w:szCs w:val="22"/>
                <w:u w:val="none"/>
                <w:lang w:val="en-US" w:eastAsia="zh-CN" w:bidi="ar"/>
              </w:rPr>
              <w:t>；中氢科技现金出资</w:t>
            </w:r>
            <w:r>
              <w:rPr>
                <w:rFonts w:hint="default" w:ascii="Arial" w:hAnsi="Arial" w:eastAsia="宋体" w:cs="Arial"/>
                <w:i w:val="0"/>
                <w:color w:val="152122"/>
                <w:kern w:val="0"/>
                <w:sz w:val="22"/>
                <w:szCs w:val="22"/>
                <w:u w:val="none"/>
                <w:lang w:val="en-US" w:eastAsia="zh-CN" w:bidi="ar"/>
              </w:rPr>
              <w:t xml:space="preserve"> 3,000 </w:t>
            </w:r>
            <w:r>
              <w:rPr>
                <w:rFonts w:hint="eastAsia" w:ascii="宋体" w:hAnsi="宋体" w:eastAsia="宋体" w:cs="宋体"/>
                <w:i w:val="0"/>
                <w:color w:val="152122"/>
                <w:kern w:val="0"/>
                <w:sz w:val="22"/>
                <w:szCs w:val="22"/>
                <w:u w:val="none"/>
                <w:lang w:val="en-US" w:eastAsia="zh-CN" w:bidi="ar"/>
              </w:rPr>
              <w:t>万元，占股本</w:t>
            </w:r>
            <w:r>
              <w:rPr>
                <w:rFonts w:hint="default" w:ascii="Arial" w:hAnsi="Arial" w:eastAsia="宋体" w:cs="Arial"/>
                <w:i w:val="0"/>
                <w:color w:val="152122"/>
                <w:kern w:val="0"/>
                <w:sz w:val="22"/>
                <w:szCs w:val="22"/>
                <w:u w:val="none"/>
                <w:lang w:val="en-US" w:eastAsia="zh-CN" w:bidi="ar"/>
              </w:rPr>
              <w:t xml:space="preserve"> 27.27%</w:t>
            </w:r>
            <w:r>
              <w:rPr>
                <w:rFonts w:hint="eastAsia" w:ascii="宋体" w:hAnsi="宋体" w:eastAsia="宋体" w:cs="宋体"/>
                <w:i w:val="0"/>
                <w:color w:val="152122"/>
                <w:kern w:val="0"/>
                <w:sz w:val="22"/>
                <w:szCs w:val="22"/>
                <w:u w:val="none"/>
                <w:lang w:val="en-US" w:eastAsia="zh-CN" w:bidi="ar"/>
              </w:rPr>
              <w:t>。设立完成后，中能元隽成为公司的控股子公司。</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3521610250.00</w:t>
            </w:r>
          </w:p>
        </w:tc>
      </w:tr>
      <w:tr>
        <w:tblPrEx>
          <w:tblCellMar>
            <w:top w:w="0" w:type="dxa"/>
            <w:left w:w="0" w:type="dxa"/>
            <w:bottom w:w="0" w:type="dxa"/>
            <w:right w:w="0" w:type="dxa"/>
          </w:tblCellMar>
        </w:tblPrEx>
        <w:trPr>
          <w:trHeight w:val="15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600273.SH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嘉化能源</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10.86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0.09</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公司现有氯碱装置部分富余氢气资源，一直有对外销售业务。目前公司对外销售氢气</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年利润占比为</w:t>
            </w:r>
            <w:r>
              <w:rPr>
                <w:rFonts w:hint="default" w:ascii="Arial" w:hAnsi="Arial" w:eastAsia="宋体" w:cs="Arial"/>
                <w:i w:val="0"/>
                <w:color w:val="152122"/>
                <w:kern w:val="0"/>
                <w:sz w:val="22"/>
                <w:szCs w:val="22"/>
                <w:u w:val="none"/>
                <w:lang w:val="en-US" w:eastAsia="zh-CN" w:bidi="ar"/>
              </w:rPr>
              <w:t>1.94%</w:t>
            </w:r>
            <w:r>
              <w:rPr>
                <w:rFonts w:hint="eastAsia" w:ascii="宋体" w:hAnsi="宋体" w:eastAsia="宋体" w:cs="宋体"/>
                <w:i w:val="0"/>
                <w:color w:val="152122"/>
                <w:kern w:val="0"/>
                <w:sz w:val="22"/>
                <w:szCs w:val="22"/>
                <w:u w:val="none"/>
                <w:lang w:val="en-US" w:eastAsia="zh-CN" w:bidi="ar"/>
              </w:rPr>
              <w:t>。</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15559453696.98</w:t>
            </w:r>
          </w:p>
        </w:tc>
      </w:tr>
      <w:tr>
        <w:tblPrEx>
          <w:shd w:val="clear" w:color="auto" w:fill="auto"/>
          <w:tblCellMar>
            <w:top w:w="0" w:type="dxa"/>
            <w:left w:w="0" w:type="dxa"/>
            <w:bottom w:w="0" w:type="dxa"/>
            <w:right w:w="0" w:type="dxa"/>
          </w:tblCellMar>
        </w:tblPrEx>
        <w:trPr>
          <w:trHeight w:val="16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000755.SZ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山西路桥</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3.66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公司有</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万吨</w:t>
            </w:r>
            <w:r>
              <w:rPr>
                <w:rFonts w:hint="default" w:ascii="Arial" w:hAnsi="Arial" w:eastAsia="宋体" w:cs="Arial"/>
                <w:i w:val="0"/>
                <w:color w:val="152122"/>
                <w:kern w:val="0"/>
                <w:sz w:val="22"/>
                <w:szCs w:val="22"/>
                <w:u w:val="none"/>
                <w:lang w:val="en-US" w:eastAsia="zh-CN" w:bidi="ar"/>
              </w:rPr>
              <w:t>PT</w:t>
            </w:r>
            <w:r>
              <w:rPr>
                <w:rFonts w:hint="eastAsia" w:ascii="宋体" w:hAnsi="宋体" w:eastAsia="宋体" w:cs="宋体"/>
                <w:i w:val="0"/>
                <w:color w:val="152122"/>
                <w:kern w:val="0"/>
                <w:sz w:val="22"/>
                <w:szCs w:val="22"/>
                <w:u w:val="none"/>
                <w:lang w:val="en-US" w:eastAsia="zh-CN" w:bidi="ar"/>
              </w:rPr>
              <w:t>焦炉煤气中氢气的综合利用项目，</w:t>
            </w:r>
            <w:r>
              <w:rPr>
                <w:rFonts w:hint="default" w:ascii="Arial" w:hAnsi="Arial" w:eastAsia="宋体" w:cs="Arial"/>
                <w:i w:val="0"/>
                <w:color w:val="152122"/>
                <w:kern w:val="0"/>
                <w:sz w:val="22"/>
                <w:szCs w:val="22"/>
                <w:u w:val="none"/>
                <w:lang w:val="en-US" w:eastAsia="zh-CN" w:bidi="ar"/>
              </w:rPr>
              <w:t>35000Nm3/h</w:t>
            </w:r>
            <w:r>
              <w:rPr>
                <w:rFonts w:hint="eastAsia" w:ascii="宋体" w:hAnsi="宋体" w:eastAsia="宋体" w:cs="宋体"/>
                <w:i w:val="0"/>
                <w:color w:val="152122"/>
                <w:kern w:val="0"/>
                <w:sz w:val="22"/>
                <w:szCs w:val="22"/>
                <w:u w:val="none"/>
                <w:lang w:val="en-US" w:eastAsia="zh-CN" w:bidi="ar"/>
              </w:rPr>
              <w:t>焦炉煤气变压吸附制氢项目，苯加氢装置。</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1717508512.86</w:t>
            </w:r>
          </w:p>
        </w:tc>
      </w:tr>
      <w:tr>
        <w:trPr>
          <w:trHeight w:val="12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002002.SZ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鸿达兴业</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3.80</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月，子公司拟投资</w:t>
            </w:r>
            <w:r>
              <w:rPr>
                <w:rFonts w:hint="default" w:ascii="Arial" w:hAnsi="Arial" w:eastAsia="宋体" w:cs="Arial"/>
                <w:i w:val="0"/>
                <w:color w:val="152122"/>
                <w:kern w:val="0"/>
                <w:sz w:val="22"/>
                <w:szCs w:val="22"/>
                <w:u w:val="none"/>
                <w:lang w:val="en-US" w:eastAsia="zh-CN" w:bidi="ar"/>
              </w:rPr>
              <w:t>2646</w:t>
            </w:r>
            <w:r>
              <w:rPr>
                <w:rFonts w:hint="eastAsia" w:ascii="宋体" w:hAnsi="宋体" w:eastAsia="宋体" w:cs="宋体"/>
                <w:i w:val="0"/>
                <w:color w:val="152122"/>
                <w:kern w:val="0"/>
                <w:sz w:val="22"/>
                <w:szCs w:val="22"/>
                <w:u w:val="none"/>
                <w:lang w:val="en-US" w:eastAsia="zh-CN" w:bidi="ar"/>
              </w:rPr>
              <w:t>万建设加氢站项目。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9823486354.40</w:t>
            </w:r>
          </w:p>
        </w:tc>
      </w:tr>
      <w:tr>
        <w:tblPrEx>
          <w:shd w:val="clear" w:color="auto" w:fill="auto"/>
          <w:tblCellMar>
            <w:top w:w="0" w:type="dxa"/>
            <w:left w:w="0" w:type="dxa"/>
            <w:bottom w:w="0" w:type="dxa"/>
            <w:right w:w="0" w:type="dxa"/>
          </w:tblCellMar>
        </w:tblPrEx>
        <w:trPr>
          <w:trHeight w:val="31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600590.SH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泰豪科技</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5.69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年年报披露：公司在军用电站的基础上，向军用氢能源、多能源微电网等军用新能源方向发展。报告期内，公司中标军方氢燃料电池电源系统、反恐电源保障系统等特种新能源项目，</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江西省氢燃料电池工程研究中心</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亦获江西省发改委批建，将在传统军用电站产品基础上逐步扩充军用新能源装备的产品系列。</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4807628143.40</w:t>
            </w:r>
          </w:p>
        </w:tc>
      </w:tr>
      <w:tr>
        <w:tblPrEx>
          <w:tblCellMar>
            <w:top w:w="0" w:type="dxa"/>
            <w:left w:w="0" w:type="dxa"/>
            <w:bottom w:w="0" w:type="dxa"/>
            <w:right w:w="0" w:type="dxa"/>
          </w:tblCellMar>
        </w:tblPrEx>
        <w:trPr>
          <w:trHeight w:val="27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600759.SH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洲际油气</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1.90</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间接参股世能氢电科技有限公司，是一家氢燃料电池研发商，主要从事制氢、储运、加氢站，电堆及电控系统生产制造、动力总成、整车生产等各环节，重点布局电堆的设计和生产关键技术，致力于解决氢燃料电池汽车产业应用的问题。</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4290549634.20</w:t>
            </w:r>
          </w:p>
        </w:tc>
      </w:tr>
      <w:tr>
        <w:tblPrEx>
          <w:tblCellMar>
            <w:top w:w="0" w:type="dxa"/>
            <w:left w:w="0" w:type="dxa"/>
            <w:bottom w:w="0" w:type="dxa"/>
            <w:right w:w="0" w:type="dxa"/>
          </w:tblCellMar>
        </w:tblPrEx>
        <w:trPr>
          <w:trHeight w:val="18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603045.SH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福达合金</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13.20</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福达合金</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24</w:t>
            </w:r>
            <w:r>
              <w:rPr>
                <w:rFonts w:hint="eastAsia" w:ascii="宋体" w:hAnsi="宋体" w:eastAsia="宋体" w:cs="宋体"/>
                <w:i w:val="0"/>
                <w:color w:val="152122"/>
                <w:kern w:val="0"/>
                <w:sz w:val="22"/>
                <w:szCs w:val="22"/>
                <w:u w:val="none"/>
                <w:lang w:val="en-US" w:eastAsia="zh-CN" w:bidi="ar"/>
              </w:rPr>
              <w:t>日晚间公告，公司拟出资</w:t>
            </w:r>
            <w:r>
              <w:rPr>
                <w:rFonts w:hint="default" w:ascii="Arial" w:hAnsi="Arial" w:eastAsia="宋体" w:cs="Arial"/>
                <w:i w:val="0"/>
                <w:color w:val="152122"/>
                <w:kern w:val="0"/>
                <w:sz w:val="22"/>
                <w:szCs w:val="22"/>
                <w:u w:val="none"/>
                <w:lang w:val="en-US" w:eastAsia="zh-CN" w:bidi="ar"/>
              </w:rPr>
              <w:t>5000</w:t>
            </w:r>
            <w:r>
              <w:rPr>
                <w:rFonts w:hint="eastAsia" w:ascii="宋体" w:hAnsi="宋体" w:eastAsia="宋体" w:cs="宋体"/>
                <w:i w:val="0"/>
                <w:color w:val="152122"/>
                <w:kern w:val="0"/>
                <w:sz w:val="22"/>
                <w:szCs w:val="22"/>
                <w:u w:val="none"/>
                <w:lang w:val="en-US" w:eastAsia="zh-CN" w:bidi="ar"/>
              </w:rPr>
              <w:t>万投资设立全资子公司福达氢能源材料有限公司，开展氢能源材料的研发、生产和销售等业务。</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1253111560.80</w:t>
            </w:r>
          </w:p>
        </w:tc>
      </w:tr>
      <w:tr>
        <w:tblPrEx>
          <w:tblCellMar>
            <w:top w:w="0" w:type="dxa"/>
            <w:left w:w="0" w:type="dxa"/>
            <w:bottom w:w="0" w:type="dxa"/>
            <w:right w:w="0" w:type="dxa"/>
          </w:tblCellMar>
        </w:tblPrEx>
        <w:trPr>
          <w:trHeight w:val="36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600277.SH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亿利洁能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3.21</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-0.31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28</w:t>
            </w:r>
            <w:r>
              <w:rPr>
                <w:rFonts w:hint="eastAsia" w:ascii="宋体" w:hAnsi="宋体" w:eastAsia="宋体" w:cs="宋体"/>
                <w:i w:val="0"/>
                <w:color w:val="152122"/>
                <w:kern w:val="0"/>
                <w:sz w:val="22"/>
                <w:szCs w:val="22"/>
                <w:u w:val="none"/>
                <w:lang w:val="en-US" w:eastAsia="zh-CN" w:bidi="ar"/>
              </w:rPr>
              <w:t>日公告披露：公司与氢阳新能源和中国五环工程拟签署《宁波氢能创新中心有限公司发起人协议书》，经各发起人友好协商，一致同意发起设立宁波氢能创新中心有限公司，充分利用各方的资源和优势，共同开展氢能源制备和储运技术、新能源应用技术、装备技术、材料技术、氢燃料电池及应用技术的研究、开发和技术咨询等业务。氢能创新中心注册资本为</w:t>
            </w:r>
            <w:r>
              <w:rPr>
                <w:rFonts w:hint="default" w:ascii="Arial" w:hAnsi="Arial" w:eastAsia="宋体" w:cs="Arial"/>
                <w:i w:val="0"/>
                <w:color w:val="152122"/>
                <w:kern w:val="0"/>
                <w:sz w:val="22"/>
                <w:szCs w:val="22"/>
                <w:u w:val="none"/>
                <w:lang w:val="en-US" w:eastAsia="zh-CN" w:bidi="ar"/>
              </w:rPr>
              <w:t xml:space="preserve"> 5,000</w:t>
            </w:r>
            <w:r>
              <w:rPr>
                <w:rFonts w:hint="eastAsia" w:ascii="宋体" w:hAnsi="宋体" w:eastAsia="宋体" w:cs="宋体"/>
                <w:i w:val="0"/>
                <w:color w:val="152122"/>
                <w:kern w:val="0"/>
                <w:sz w:val="22"/>
                <w:szCs w:val="22"/>
                <w:u w:val="none"/>
                <w:lang w:val="en-US" w:eastAsia="zh-CN" w:bidi="ar"/>
              </w:rPr>
              <w:t>万元，公司拟出资</w:t>
            </w:r>
            <w:r>
              <w:rPr>
                <w:rFonts w:hint="default" w:ascii="Arial" w:hAnsi="Arial" w:eastAsia="宋体" w:cs="Arial"/>
                <w:i w:val="0"/>
                <w:color w:val="152122"/>
                <w:kern w:val="0"/>
                <w:sz w:val="22"/>
                <w:szCs w:val="22"/>
                <w:u w:val="none"/>
                <w:lang w:val="en-US" w:eastAsia="zh-CN" w:bidi="ar"/>
              </w:rPr>
              <w:t xml:space="preserve"> 500</w:t>
            </w:r>
            <w:r>
              <w:rPr>
                <w:rFonts w:hint="eastAsia" w:ascii="宋体" w:hAnsi="宋体" w:eastAsia="宋体" w:cs="宋体"/>
                <w:i w:val="0"/>
                <w:color w:val="152122"/>
                <w:kern w:val="0"/>
                <w:sz w:val="22"/>
                <w:szCs w:val="22"/>
                <w:u w:val="none"/>
                <w:lang w:val="en-US" w:eastAsia="zh-CN" w:bidi="ar"/>
              </w:rPr>
              <w:t>万元，持有其</w:t>
            </w:r>
            <w:r>
              <w:rPr>
                <w:rFonts w:hint="default" w:ascii="Arial" w:hAnsi="Arial" w:eastAsia="宋体" w:cs="Arial"/>
                <w:i w:val="0"/>
                <w:color w:val="152122"/>
                <w:kern w:val="0"/>
                <w:sz w:val="22"/>
                <w:szCs w:val="22"/>
                <w:u w:val="none"/>
                <w:lang w:val="en-US" w:eastAsia="zh-CN" w:bidi="ar"/>
              </w:rPr>
              <w:t xml:space="preserve"> 10%</w:t>
            </w:r>
            <w:r>
              <w:rPr>
                <w:rFonts w:hint="eastAsia" w:ascii="宋体" w:hAnsi="宋体" w:eastAsia="宋体" w:cs="宋体"/>
                <w:i w:val="0"/>
                <w:color w:val="152122"/>
                <w:kern w:val="0"/>
                <w:sz w:val="22"/>
                <w:szCs w:val="22"/>
                <w:u w:val="none"/>
                <w:lang w:val="en-US" w:eastAsia="zh-CN" w:bidi="ar"/>
              </w:rPr>
              <w:t>股权。</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8791997878.29</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600758.SH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辽宁能源</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2.82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-0.35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子公司辽宁红阳资本投资有限公司参股深圳国氢新能源科技有限公司，经营范围包括氢燃料电池及其各零部件和相关检测系统的咨询、研发和销售；燃料电池动力系统咨询、研发和销售；制氢、储氢、加氢及氢能相关动力和储能系统的咨询、研发和销售。</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3724496371.08</w:t>
            </w:r>
          </w:p>
        </w:tc>
      </w:tr>
      <w:tr>
        <w:tblPrEx>
          <w:shd w:val="clear" w:color="auto" w:fill="auto"/>
          <w:tblCellMar>
            <w:top w:w="0" w:type="dxa"/>
            <w:left w:w="0" w:type="dxa"/>
            <w:bottom w:w="0" w:type="dxa"/>
            <w:right w:w="0" w:type="dxa"/>
          </w:tblCellMar>
        </w:tblPrEx>
        <w:trPr>
          <w:trHeight w:val="35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601016.SH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节能风电</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2.75</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-0.36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日互动平台回复：公司风电制氢</w:t>
            </w:r>
            <w:r>
              <w:rPr>
                <w:rFonts w:hint="default" w:ascii="Arial" w:hAnsi="Arial" w:eastAsia="宋体" w:cs="Arial"/>
                <w:i w:val="0"/>
                <w:color w:val="152122"/>
                <w:kern w:val="0"/>
                <w:sz w:val="22"/>
                <w:szCs w:val="22"/>
                <w:u w:val="none"/>
                <w:lang w:val="en-US" w:eastAsia="zh-CN" w:bidi="ar"/>
              </w:rPr>
              <w:t>863</w:t>
            </w:r>
            <w:r>
              <w:rPr>
                <w:rFonts w:hint="eastAsia" w:ascii="宋体" w:hAnsi="宋体" w:eastAsia="宋体" w:cs="宋体"/>
                <w:i w:val="0"/>
                <w:color w:val="152122"/>
                <w:kern w:val="0"/>
                <w:sz w:val="22"/>
                <w:szCs w:val="22"/>
                <w:u w:val="none"/>
                <w:lang w:val="en-US" w:eastAsia="zh-CN" w:bidi="ar"/>
              </w:rPr>
              <w:t>计划课题研究工作已经完成，课题已经通过国家科技部验收，但风电制氢产业化仍然需要面对：成本高、运输难、产地与需求市场不匹配、市场对氢气的消纳能力有待提高、投资回报期较长等问题。未来，公司会紧密围绕主营业务，加大对风电制氢、风电储能等业务的探索，积极挖掘市场上成熟的技术和项目资源，争取实现新业务的突破。</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11427790000.00</w:t>
            </w:r>
          </w:p>
        </w:tc>
      </w:tr>
      <w:tr>
        <w:tblPrEx>
          <w:tblCellMar>
            <w:top w:w="0" w:type="dxa"/>
            <w:left w:w="0" w:type="dxa"/>
            <w:bottom w:w="0" w:type="dxa"/>
            <w:right w:w="0" w:type="dxa"/>
          </w:tblCellMar>
        </w:tblPrEx>
        <w:trPr>
          <w:trHeight w:val="15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600691.SH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阳煤化工</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2.24</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-0.44</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w:t>
            </w:r>
            <w:r>
              <w:rPr>
                <w:rFonts w:hint="eastAsia" w:ascii="宋体" w:hAnsi="宋体" w:eastAsia="宋体" w:cs="宋体"/>
                <w:i w:val="0"/>
                <w:color w:val="152122"/>
                <w:kern w:val="0"/>
                <w:sz w:val="22"/>
                <w:szCs w:val="22"/>
                <w:u w:val="none"/>
                <w:lang w:val="en-US" w:eastAsia="zh-CN" w:bidi="ar"/>
              </w:rPr>
              <w:t>年年报称，公司在建工程包括沧州正元鑫海化工供氢气工程、沧州正元鑫海化工供氢气工程等。</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3934315629.44</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002783.SZ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凯龙股份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12.78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-0.47</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深圳市君丰华盛投资合伙企业，公司作为有限合伙人认缴出资</w:t>
            </w:r>
            <w:r>
              <w:rPr>
                <w:rFonts w:hint="default" w:ascii="Arial" w:hAnsi="Arial" w:eastAsia="宋体" w:cs="Arial"/>
                <w:i w:val="0"/>
                <w:color w:val="152122"/>
                <w:kern w:val="0"/>
                <w:sz w:val="22"/>
                <w:szCs w:val="22"/>
                <w:u w:val="none"/>
                <w:lang w:val="en-US" w:eastAsia="zh-CN" w:bidi="ar"/>
              </w:rPr>
              <w:t>21000</w:t>
            </w:r>
            <w:r>
              <w:rPr>
                <w:rFonts w:hint="eastAsia" w:ascii="宋体" w:hAnsi="宋体" w:eastAsia="宋体" w:cs="宋体"/>
                <w:i w:val="0"/>
                <w:color w:val="152122"/>
                <w:kern w:val="0"/>
                <w:sz w:val="22"/>
                <w:szCs w:val="22"/>
                <w:u w:val="none"/>
                <w:lang w:val="en-US" w:eastAsia="zh-CN" w:bidi="ar"/>
              </w:rPr>
              <w:t>万元。该基金将逐步投入到适当的氢能源项目中去，目前已在氢能源核心环节，包含氢能源的制备，储运，发动机和应用领域的全方位布局。</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4104360235.44</w:t>
            </w:r>
          </w:p>
        </w:tc>
      </w:tr>
      <w:tr>
        <w:tblPrEx>
          <w:shd w:val="clear" w:color="auto" w:fill="auto"/>
          <w:tblCellMar>
            <w:top w:w="0" w:type="dxa"/>
            <w:left w:w="0" w:type="dxa"/>
            <w:bottom w:w="0" w:type="dxa"/>
            <w:right w:w="0" w:type="dxa"/>
          </w:tblCellMar>
        </w:tblPrEx>
        <w:trPr>
          <w:trHeight w:val="28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002012.SZ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凯恩股份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5.71</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-0.52</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 xml:space="preserve">2017 </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 xml:space="preserve"> 6 </w:t>
            </w:r>
            <w:r>
              <w:rPr>
                <w:rFonts w:hint="eastAsia" w:ascii="宋体" w:hAnsi="宋体" w:eastAsia="宋体" w:cs="宋体"/>
                <w:i w:val="0"/>
                <w:color w:val="152122"/>
                <w:kern w:val="0"/>
                <w:sz w:val="22"/>
                <w:szCs w:val="22"/>
                <w:u w:val="none"/>
                <w:lang w:val="en-US" w:eastAsia="zh-CN" w:bidi="ar"/>
              </w:rPr>
              <w:t>月，公司与中洋新能科技、洲际新能科技等共同投资设立世能氢电科</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技有限公司。世能氢电是一家氢燃料电池研发商，主要从事制氢、储运、加氢站、</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电堆及电控系统生产制造、动力总成、整车生产等各环节，重点布局电堆的设计</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和生产关键技术，致力于解决氢燃料电池汽车产业应用的问题。</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2663929930.11</w:t>
            </w:r>
          </w:p>
        </w:tc>
      </w:tr>
      <w:tr>
        <w:tblPrEx>
          <w:shd w:val="clear" w:color="auto" w:fill="auto"/>
          <w:tblCellMar>
            <w:top w:w="0" w:type="dxa"/>
            <w:left w:w="0" w:type="dxa"/>
            <w:bottom w:w="0" w:type="dxa"/>
            <w:right w:w="0" w:type="dxa"/>
          </w:tblCellMar>
        </w:tblPrEx>
        <w:trPr>
          <w:trHeight w:val="14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001896.SZ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豫能控股</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3.79</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-0.53</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公司发行股份购买的鹤壁同力拥有两处制氢站，同时公司有正在办理产权证书的固定资产中益公司制氢站账面价值</w:t>
            </w:r>
            <w:r>
              <w:rPr>
                <w:rFonts w:hint="default" w:ascii="Arial" w:hAnsi="Arial" w:eastAsia="宋体" w:cs="Arial"/>
                <w:i w:val="0"/>
                <w:color w:val="152122"/>
                <w:kern w:val="0"/>
                <w:sz w:val="22"/>
                <w:szCs w:val="22"/>
                <w:u w:val="none"/>
                <w:lang w:val="en-US" w:eastAsia="zh-CN" w:bidi="ar"/>
              </w:rPr>
              <w:t>1,073,647.23</w:t>
            </w:r>
            <w:r>
              <w:rPr>
                <w:rFonts w:hint="eastAsia" w:ascii="宋体" w:hAnsi="宋体" w:eastAsia="宋体" w:cs="宋体"/>
                <w:i w:val="0"/>
                <w:color w:val="152122"/>
                <w:kern w:val="0"/>
                <w:sz w:val="22"/>
                <w:szCs w:val="22"/>
                <w:u w:val="none"/>
                <w:lang w:val="en-US" w:eastAsia="zh-CN" w:bidi="ar"/>
              </w:rPr>
              <w:t>元。</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4360727940.13</w:t>
            </w:r>
          </w:p>
        </w:tc>
      </w:tr>
      <w:tr>
        <w:tblPrEx>
          <w:shd w:val="clear" w:color="auto" w:fill="auto"/>
          <w:tblCellMar>
            <w:top w:w="0" w:type="dxa"/>
            <w:left w:w="0" w:type="dxa"/>
            <w:bottom w:w="0" w:type="dxa"/>
            <w:right w:w="0" w:type="dxa"/>
          </w:tblCellMar>
        </w:tblPrEx>
        <w:trPr>
          <w:trHeight w:val="34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603637.SH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镇海股份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8.62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-0.58</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日镇海股份在互动平台上表示，公司已掌握了生产国</w:t>
            </w:r>
            <w:r>
              <w:rPr>
                <w:rFonts w:hint="default" w:ascii="Arial" w:hAnsi="Arial" w:eastAsia="宋体" w:cs="Arial"/>
                <w:i w:val="0"/>
                <w:color w:val="152122"/>
                <w:kern w:val="0"/>
                <w:sz w:val="22"/>
                <w:szCs w:val="22"/>
                <w:u w:val="none"/>
                <w:lang w:val="en-US" w:eastAsia="zh-CN" w:bidi="ar"/>
              </w:rPr>
              <w:t>IV</w:t>
            </w:r>
            <w:r>
              <w:rPr>
                <w:rFonts w:hint="eastAsia" w:ascii="宋体" w:hAnsi="宋体" w:eastAsia="宋体" w:cs="宋体"/>
                <w:i w:val="0"/>
                <w:color w:val="152122"/>
                <w:kern w:val="0"/>
                <w:sz w:val="22"/>
                <w:szCs w:val="22"/>
                <w:u w:val="none"/>
                <w:lang w:val="en-US" w:eastAsia="zh-CN" w:bidi="ar"/>
              </w:rPr>
              <w:t>、国</w:t>
            </w:r>
            <w:r>
              <w:rPr>
                <w:rFonts w:hint="default" w:ascii="Arial" w:hAnsi="Arial" w:eastAsia="宋体" w:cs="Arial"/>
                <w:i w:val="0"/>
                <w:color w:val="152122"/>
                <w:kern w:val="0"/>
                <w:sz w:val="22"/>
                <w:szCs w:val="22"/>
                <w:u w:val="none"/>
                <w:lang w:val="en-US" w:eastAsia="zh-CN" w:bidi="ar"/>
              </w:rPr>
              <w:t>V</w:t>
            </w:r>
            <w:r>
              <w:rPr>
                <w:rFonts w:hint="eastAsia" w:ascii="宋体" w:hAnsi="宋体" w:eastAsia="宋体" w:cs="宋体"/>
                <w:i w:val="0"/>
                <w:color w:val="152122"/>
                <w:kern w:val="0"/>
                <w:sz w:val="22"/>
                <w:szCs w:val="22"/>
                <w:u w:val="none"/>
                <w:lang w:val="en-US" w:eastAsia="zh-CN" w:bidi="ar"/>
              </w:rPr>
              <w:t>、国Ⅵ标准汽油加氢装置、柴油加氢装置、全馏分催化汽油选择性加氢脱硫生产高等级车用汽油装置、煤油加氢装置、高品位加氢树脂生产装置等的设计技术。公司设计的汽油柴油加氢装置能耗低，投资省，装置安全性高，连续运转时间长，脱硫效率达到国内先进水平。</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2094903678.78</w:t>
            </w:r>
          </w:p>
        </w:tc>
      </w:tr>
      <w:tr>
        <w:tblPrEx>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000698.SZ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沈阳化工</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4.94</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-0.60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公司子公司经营范围：汽油；液化石油气；石脑油；丙烯；压缩空气；丙烯酸；丙烯酸甲酯；丙烯酸乙酯；丙烯酸丁酯；乙烯；甲基叔丁基醚；含苯或甲苯的制品；丁烯</w:t>
            </w:r>
            <w:r>
              <w:rPr>
                <w:rFonts w:hint="default" w:ascii="Arial" w:hAnsi="Arial" w:eastAsia="宋体" w:cs="Arial"/>
                <w:i w:val="0"/>
                <w:color w:val="152122"/>
                <w:kern w:val="0"/>
                <w:sz w:val="22"/>
                <w:szCs w:val="22"/>
                <w:u w:val="none"/>
                <w:lang w:val="en-US" w:eastAsia="zh-CN" w:bidi="ar"/>
              </w:rPr>
              <w:t>-1</w:t>
            </w:r>
            <w:r>
              <w:rPr>
                <w:rFonts w:hint="eastAsia" w:ascii="宋体" w:hAnsi="宋体" w:eastAsia="宋体" w:cs="宋体"/>
                <w:i w:val="0"/>
                <w:color w:val="152122"/>
                <w:kern w:val="0"/>
                <w:sz w:val="22"/>
                <w:szCs w:val="22"/>
                <w:u w:val="none"/>
                <w:lang w:val="en-US" w:eastAsia="zh-CN" w:bidi="ar"/>
              </w:rPr>
              <w:t>；氢气；氢气和甲烷混合物（压缩的）生产。</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3881313164.56</w:t>
            </w:r>
          </w:p>
        </w:tc>
      </w:tr>
      <w:tr>
        <w:tblPrEx>
          <w:shd w:val="clear" w:color="auto" w:fill="auto"/>
          <w:tblCellMar>
            <w:top w:w="0" w:type="dxa"/>
            <w:left w:w="0" w:type="dxa"/>
            <w:bottom w:w="0" w:type="dxa"/>
            <w:right w:w="0" w:type="dxa"/>
          </w:tblCellMar>
        </w:tblPrEx>
        <w:trPr>
          <w:trHeight w:val="14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600997.SH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开滦股份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5.31</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-0.75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公司以甲醇驰放气为原料生产氢气，同时</w:t>
            </w: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年报披露公司有</w:t>
            </w:r>
            <w:r>
              <w:rPr>
                <w:rFonts w:hint="default" w:ascii="Arial" w:hAnsi="Arial" w:eastAsia="宋体" w:cs="Arial"/>
                <w:i w:val="0"/>
                <w:color w:val="152122"/>
                <w:kern w:val="0"/>
                <w:sz w:val="22"/>
                <w:szCs w:val="22"/>
                <w:u w:val="none"/>
                <w:lang w:val="en-US" w:eastAsia="zh-CN" w:bidi="ar"/>
              </w:rPr>
              <w:t>20</w:t>
            </w:r>
            <w:r>
              <w:rPr>
                <w:rFonts w:hint="eastAsia" w:ascii="宋体" w:hAnsi="宋体" w:eastAsia="宋体" w:cs="宋体"/>
                <w:i w:val="0"/>
                <w:color w:val="152122"/>
                <w:kern w:val="0"/>
                <w:sz w:val="22"/>
                <w:szCs w:val="22"/>
                <w:u w:val="none"/>
                <w:lang w:val="en-US" w:eastAsia="zh-CN" w:bidi="ar"/>
              </w:rPr>
              <w:t>万吨</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年粗苯加氢精制的加工能力。</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8431217208.81</w:t>
            </w:r>
          </w:p>
        </w:tc>
      </w:tr>
      <w:tr>
        <w:tblPrEx>
          <w:shd w:val="clear" w:color="auto" w:fill="auto"/>
          <w:tblCellMar>
            <w:top w:w="0" w:type="dxa"/>
            <w:left w:w="0" w:type="dxa"/>
            <w:bottom w:w="0" w:type="dxa"/>
            <w:right w:w="0" w:type="dxa"/>
          </w:tblCellMar>
        </w:tblPrEx>
        <w:trPr>
          <w:trHeight w:val="14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000980.SZ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众泰</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1.32</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-0.75</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27</w:t>
            </w:r>
            <w:r>
              <w:rPr>
                <w:rFonts w:hint="eastAsia" w:ascii="宋体" w:hAnsi="宋体" w:eastAsia="宋体" w:cs="宋体"/>
                <w:i w:val="0"/>
                <w:color w:val="152122"/>
                <w:kern w:val="0"/>
                <w:sz w:val="22"/>
                <w:szCs w:val="22"/>
                <w:u w:val="none"/>
                <w:lang w:val="en-US" w:eastAsia="zh-CN" w:bidi="ar"/>
              </w:rPr>
              <w:t>日互动平台称公司氢能源车型正在研发过程中</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1644647021.16</w:t>
            </w:r>
          </w:p>
        </w:tc>
      </w:tr>
      <w:tr>
        <w:tblPrEx>
          <w:tblCellMar>
            <w:top w:w="0" w:type="dxa"/>
            <w:left w:w="0" w:type="dxa"/>
            <w:bottom w:w="0" w:type="dxa"/>
            <w:right w:w="0" w:type="dxa"/>
          </w:tblCellMar>
        </w:tblPrEx>
        <w:trPr>
          <w:trHeight w:val="31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000875.SZ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吉电股份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3.84</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-0.78</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日，公司与青岛海望签署了《战略合作协议》。青岛海望是依托西安交通大学孵化的专业的氢能储运公司，拥有全球领先的液态有机储氢（</w:t>
            </w:r>
            <w:r>
              <w:rPr>
                <w:rFonts w:hint="default" w:ascii="Arial" w:hAnsi="Arial" w:eastAsia="宋体" w:cs="Arial"/>
                <w:i w:val="0"/>
                <w:color w:val="152122"/>
                <w:kern w:val="0"/>
                <w:sz w:val="22"/>
                <w:szCs w:val="22"/>
                <w:u w:val="none"/>
                <w:lang w:val="en-US" w:eastAsia="zh-CN" w:bidi="ar"/>
              </w:rPr>
              <w:t>LOHC</w:t>
            </w:r>
            <w:r>
              <w:rPr>
                <w:rFonts w:hint="eastAsia" w:ascii="宋体" w:hAnsi="宋体" w:eastAsia="宋体" w:cs="宋体"/>
                <w:i w:val="0"/>
                <w:color w:val="152122"/>
                <w:kern w:val="0"/>
                <w:sz w:val="22"/>
                <w:szCs w:val="22"/>
                <w:u w:val="none"/>
                <w:lang w:val="en-US" w:eastAsia="zh-CN" w:bidi="ar"/>
              </w:rPr>
              <w:t>）技术。双方通过紧密的战略合作，在氢能储运产业联盟、氢能产业规划项目、技术研发、产业化应用等方面，形成密切的利益共同体，共同推动氢能产业发展，实现互利共赢。</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8241825523.20</w:t>
            </w:r>
          </w:p>
        </w:tc>
      </w:tr>
      <w:tr>
        <w:tblPrEx>
          <w:shd w:val="clear" w:color="auto" w:fill="auto"/>
          <w:tblCellMar>
            <w:top w:w="0" w:type="dxa"/>
            <w:left w:w="0" w:type="dxa"/>
            <w:bottom w:w="0" w:type="dxa"/>
            <w:right w:w="0" w:type="dxa"/>
          </w:tblCellMar>
        </w:tblPrEx>
        <w:trPr>
          <w:trHeight w:val="36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002665.SZ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首航高科</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2.48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04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19</w:t>
            </w:r>
            <w:r>
              <w:rPr>
                <w:rFonts w:hint="eastAsia" w:ascii="宋体" w:hAnsi="宋体" w:eastAsia="宋体" w:cs="宋体"/>
                <w:i w:val="0"/>
                <w:color w:val="152122"/>
                <w:kern w:val="0"/>
                <w:sz w:val="22"/>
                <w:szCs w:val="22"/>
                <w:u w:val="none"/>
                <w:lang w:val="en-US" w:eastAsia="zh-CN" w:bidi="ar"/>
              </w:rPr>
              <w:t>日公告，公司以估值不高于</w:t>
            </w:r>
            <w:r>
              <w:rPr>
                <w:rFonts w:hint="default" w:ascii="Arial" w:hAnsi="Arial" w:eastAsia="宋体" w:cs="Arial"/>
                <w:i w:val="0"/>
                <w:color w:val="152122"/>
                <w:kern w:val="0"/>
                <w:sz w:val="22"/>
                <w:szCs w:val="22"/>
                <w:u w:val="none"/>
                <w:lang w:val="en-US" w:eastAsia="zh-CN" w:bidi="ar"/>
              </w:rPr>
              <w:t>3.98</w:t>
            </w:r>
            <w:r>
              <w:rPr>
                <w:rFonts w:hint="eastAsia" w:ascii="宋体" w:hAnsi="宋体" w:eastAsia="宋体" w:cs="宋体"/>
                <w:i w:val="0"/>
                <w:color w:val="152122"/>
                <w:kern w:val="0"/>
                <w:sz w:val="22"/>
                <w:szCs w:val="22"/>
                <w:u w:val="none"/>
                <w:lang w:val="en-US" w:eastAsia="zh-CN" w:bidi="ar"/>
              </w:rPr>
              <w:t>亿元对新研氢能源增资</w:t>
            </w:r>
            <w:r>
              <w:rPr>
                <w:rFonts w:hint="default" w:ascii="Arial" w:hAnsi="Arial" w:eastAsia="宋体" w:cs="Arial"/>
                <w:i w:val="0"/>
                <w:color w:val="152122"/>
                <w:kern w:val="0"/>
                <w:sz w:val="22"/>
                <w:szCs w:val="22"/>
                <w:u w:val="none"/>
                <w:lang w:val="en-US" w:eastAsia="zh-CN" w:bidi="ar"/>
              </w:rPr>
              <w:t>25,000</w:t>
            </w:r>
            <w:r>
              <w:rPr>
                <w:rFonts w:hint="eastAsia" w:ascii="宋体" w:hAnsi="宋体" w:eastAsia="宋体" w:cs="宋体"/>
                <w:i w:val="0"/>
                <w:color w:val="152122"/>
                <w:kern w:val="0"/>
                <w:sz w:val="22"/>
                <w:szCs w:val="22"/>
                <w:u w:val="none"/>
                <w:lang w:val="en-US" w:eastAsia="zh-CN" w:bidi="ar"/>
              </w:rPr>
              <w:t>万元，按估值</w:t>
            </w:r>
            <w:r>
              <w:rPr>
                <w:rFonts w:hint="default" w:ascii="Arial" w:hAnsi="Arial" w:eastAsia="宋体" w:cs="Arial"/>
                <w:i w:val="0"/>
                <w:color w:val="152122"/>
                <w:kern w:val="0"/>
                <w:sz w:val="22"/>
                <w:szCs w:val="22"/>
                <w:u w:val="none"/>
                <w:lang w:val="en-US" w:eastAsia="zh-CN" w:bidi="ar"/>
              </w:rPr>
              <w:t>3.98</w:t>
            </w:r>
            <w:r>
              <w:rPr>
                <w:rFonts w:hint="eastAsia" w:ascii="宋体" w:hAnsi="宋体" w:eastAsia="宋体" w:cs="宋体"/>
                <w:i w:val="0"/>
                <w:color w:val="152122"/>
                <w:kern w:val="0"/>
                <w:sz w:val="22"/>
                <w:szCs w:val="22"/>
                <w:u w:val="none"/>
                <w:lang w:val="en-US" w:eastAsia="zh-CN" w:bidi="ar"/>
              </w:rPr>
              <w:t>亿元计算，持有不低于</w:t>
            </w:r>
            <w:r>
              <w:rPr>
                <w:rFonts w:hint="default" w:ascii="Arial" w:hAnsi="Arial" w:eastAsia="宋体" w:cs="Arial"/>
                <w:i w:val="0"/>
                <w:color w:val="152122"/>
                <w:kern w:val="0"/>
                <w:sz w:val="22"/>
                <w:szCs w:val="22"/>
                <w:u w:val="none"/>
                <w:lang w:val="en-US" w:eastAsia="zh-CN" w:bidi="ar"/>
              </w:rPr>
              <w:t>38.58%</w:t>
            </w:r>
            <w:r>
              <w:rPr>
                <w:rFonts w:hint="eastAsia" w:ascii="宋体" w:hAnsi="宋体" w:eastAsia="宋体" w:cs="宋体"/>
                <w:i w:val="0"/>
                <w:color w:val="152122"/>
                <w:kern w:val="0"/>
                <w:sz w:val="22"/>
                <w:szCs w:val="22"/>
                <w:u w:val="none"/>
                <w:lang w:val="en-US" w:eastAsia="zh-CN" w:bidi="ar"/>
              </w:rPr>
              <w:t>的新研氢能源股权；股东黄昕妍以新研氢能源估值不高于</w:t>
            </w:r>
            <w:r>
              <w:rPr>
                <w:rFonts w:hint="default" w:ascii="Arial" w:hAnsi="Arial" w:eastAsia="宋体" w:cs="Arial"/>
                <w:i w:val="0"/>
                <w:color w:val="152122"/>
                <w:kern w:val="0"/>
                <w:sz w:val="22"/>
                <w:szCs w:val="22"/>
                <w:u w:val="none"/>
                <w:lang w:val="en-US" w:eastAsia="zh-CN" w:bidi="ar"/>
              </w:rPr>
              <w:t>3.98</w:t>
            </w:r>
            <w:r>
              <w:rPr>
                <w:rFonts w:hint="eastAsia" w:ascii="宋体" w:hAnsi="宋体" w:eastAsia="宋体" w:cs="宋体"/>
                <w:i w:val="0"/>
                <w:color w:val="152122"/>
                <w:kern w:val="0"/>
                <w:sz w:val="22"/>
                <w:szCs w:val="22"/>
                <w:u w:val="none"/>
                <w:lang w:val="en-US" w:eastAsia="zh-CN" w:bidi="ar"/>
              </w:rPr>
              <w:t>亿元转让</w:t>
            </w:r>
            <w:r>
              <w:rPr>
                <w:rFonts w:hint="default" w:ascii="Arial" w:hAnsi="Arial" w:eastAsia="宋体" w:cs="Arial"/>
                <w:i w:val="0"/>
                <w:color w:val="152122"/>
                <w:kern w:val="0"/>
                <w:sz w:val="22"/>
                <w:szCs w:val="22"/>
                <w:u w:val="none"/>
                <w:lang w:val="en-US" w:eastAsia="zh-CN" w:bidi="ar"/>
              </w:rPr>
              <w:t>5,000</w:t>
            </w:r>
            <w:r>
              <w:rPr>
                <w:rFonts w:hint="eastAsia" w:ascii="宋体" w:hAnsi="宋体" w:eastAsia="宋体" w:cs="宋体"/>
                <w:i w:val="0"/>
                <w:color w:val="152122"/>
                <w:kern w:val="0"/>
                <w:sz w:val="22"/>
                <w:szCs w:val="22"/>
                <w:u w:val="none"/>
                <w:lang w:val="en-US" w:eastAsia="zh-CN" w:bidi="ar"/>
              </w:rPr>
              <w:t>万元人民币的股权给首航节能，转让后首航节能持有不低于</w:t>
            </w:r>
            <w:r>
              <w:rPr>
                <w:rFonts w:hint="default" w:ascii="Arial" w:hAnsi="Arial" w:eastAsia="宋体" w:cs="Arial"/>
                <w:i w:val="0"/>
                <w:color w:val="152122"/>
                <w:kern w:val="0"/>
                <w:sz w:val="22"/>
                <w:szCs w:val="22"/>
                <w:u w:val="none"/>
                <w:lang w:val="en-US" w:eastAsia="zh-CN" w:bidi="ar"/>
              </w:rPr>
              <w:t>12.56%</w:t>
            </w:r>
            <w:r>
              <w:rPr>
                <w:rFonts w:hint="eastAsia" w:ascii="宋体" w:hAnsi="宋体" w:eastAsia="宋体" w:cs="宋体"/>
                <w:i w:val="0"/>
                <w:color w:val="152122"/>
                <w:kern w:val="0"/>
                <w:sz w:val="22"/>
                <w:szCs w:val="22"/>
                <w:u w:val="none"/>
                <w:lang w:val="en-US" w:eastAsia="zh-CN" w:bidi="ar"/>
              </w:rPr>
              <w:t>的股权。经过上述两个步骤后，首航节能合计持有新研氢能源的股权不低于</w:t>
            </w:r>
            <w:r>
              <w:rPr>
                <w:rFonts w:hint="default" w:ascii="Arial" w:hAnsi="Arial" w:eastAsia="宋体" w:cs="Arial"/>
                <w:i w:val="0"/>
                <w:color w:val="152122"/>
                <w:kern w:val="0"/>
                <w:sz w:val="22"/>
                <w:szCs w:val="22"/>
                <w:u w:val="none"/>
                <w:lang w:val="en-US" w:eastAsia="zh-CN" w:bidi="ar"/>
              </w:rPr>
              <w:t>51.14%</w:t>
            </w:r>
            <w:r>
              <w:rPr>
                <w:rFonts w:hint="eastAsia" w:ascii="宋体" w:hAnsi="宋体" w:eastAsia="宋体" w:cs="宋体"/>
                <w:i w:val="0"/>
                <w:color w:val="152122"/>
                <w:kern w:val="0"/>
                <w:sz w:val="22"/>
                <w:szCs w:val="22"/>
                <w:u w:val="none"/>
                <w:lang w:val="en-US" w:eastAsia="zh-CN" w:bidi="ar"/>
              </w:rPr>
              <w:t>，成为新研氢能源第一大股东及实际控制人。</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5665220926.96</w:t>
            </w:r>
          </w:p>
        </w:tc>
      </w:tr>
      <w:tr>
        <w:tblPrEx>
          <w:shd w:val="clear" w:color="auto" w:fill="auto"/>
          <w:tblCellMar>
            <w:top w:w="0" w:type="dxa"/>
            <w:left w:w="0" w:type="dxa"/>
            <w:bottom w:w="0" w:type="dxa"/>
            <w:right w:w="0" w:type="dxa"/>
          </w:tblCellMar>
        </w:tblPrEx>
        <w:trPr>
          <w:trHeight w:val="16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600141.SH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兴发集团</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12.82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-0.85</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50%</w:t>
            </w:r>
            <w:r>
              <w:rPr>
                <w:rFonts w:hint="eastAsia" w:ascii="宋体" w:hAnsi="宋体" w:eastAsia="宋体" w:cs="宋体"/>
                <w:i w:val="0"/>
                <w:color w:val="152122"/>
                <w:kern w:val="0"/>
                <w:sz w:val="22"/>
                <w:szCs w:val="22"/>
                <w:u w:val="none"/>
                <w:lang w:val="en-US" w:eastAsia="zh-CN" w:bidi="ar"/>
              </w:rPr>
              <w:t>参股湖北兴瑞硅材料有限公司，包含氢氧化钠、液氯、氢气、盐酸、次氯酸钠、漂粉精、二甲基二氯硅烷等</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9527715555.62</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002564.SZ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天沃科技</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3.32</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-0.90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公司已在多个领域涉及氢能源在能源工程领域已承接两项丙烷脱氢项目</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在高端制造领域则具备生产储氢容器能力子公司夭沃综能已拥有通过</w:t>
            </w:r>
            <w:r>
              <w:rPr>
                <w:rFonts w:hint="default" w:ascii="Arial" w:hAnsi="Arial" w:eastAsia="宋体" w:cs="Arial"/>
                <w:i w:val="0"/>
                <w:color w:val="152122"/>
                <w:kern w:val="0"/>
                <w:sz w:val="22"/>
                <w:szCs w:val="22"/>
                <w:u w:val="none"/>
                <w:lang w:val="en-US" w:eastAsia="zh-CN" w:bidi="ar"/>
              </w:rPr>
              <w:t>SGT</w:t>
            </w:r>
            <w:r>
              <w:rPr>
                <w:rFonts w:hint="eastAsia" w:ascii="宋体" w:hAnsi="宋体" w:eastAsia="宋体" w:cs="宋体"/>
                <w:i w:val="0"/>
                <w:color w:val="152122"/>
                <w:kern w:val="0"/>
                <w:sz w:val="22"/>
                <w:szCs w:val="22"/>
                <w:u w:val="none"/>
                <w:lang w:val="en-US" w:eastAsia="zh-CN" w:bidi="ar"/>
              </w:rPr>
              <w:t>劣质煤煤制气技术切入氢能源领域的能力</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2883344317.28</w:t>
            </w:r>
          </w:p>
        </w:tc>
      </w:tr>
      <w:tr>
        <w:tblPrEx>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600458.SH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时代新材</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7.55</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-0.92</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日时代新材在互动平台上表示，高压储氢罐作为燃料电池汽车中动力系统的关键组件，用于储存与为燃料电池提供气态氢气，公司前期进行了高压储氢罐的预研工作，并与德国</w:t>
            </w:r>
            <w:r>
              <w:rPr>
                <w:rFonts w:hint="default" w:ascii="Arial" w:hAnsi="Arial" w:eastAsia="宋体" w:cs="Arial"/>
                <w:i w:val="0"/>
                <w:color w:val="152122"/>
                <w:kern w:val="0"/>
                <w:sz w:val="22"/>
                <w:szCs w:val="22"/>
                <w:u w:val="none"/>
                <w:lang w:val="en-US" w:eastAsia="zh-CN" w:bidi="ar"/>
              </w:rPr>
              <w:t>NPROXX</w:t>
            </w:r>
            <w:r>
              <w:rPr>
                <w:rFonts w:hint="eastAsia" w:ascii="宋体" w:hAnsi="宋体" w:eastAsia="宋体" w:cs="宋体"/>
                <w:i w:val="0"/>
                <w:color w:val="152122"/>
                <w:kern w:val="0"/>
                <w:sz w:val="22"/>
                <w:szCs w:val="22"/>
                <w:u w:val="none"/>
                <w:lang w:val="en-US" w:eastAsia="zh-CN" w:bidi="ar"/>
              </w:rPr>
              <w:t>公司进行了交流</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6061126047.60</w:t>
            </w:r>
          </w:p>
        </w:tc>
      </w:tr>
      <w:tr>
        <w:tblPrEx>
          <w:shd w:val="clear" w:color="auto" w:fill="auto"/>
          <w:tblCellMar>
            <w:top w:w="0" w:type="dxa"/>
            <w:left w:w="0" w:type="dxa"/>
            <w:bottom w:w="0" w:type="dxa"/>
            <w:right w:w="0" w:type="dxa"/>
          </w:tblCellMar>
        </w:tblPrEx>
        <w:trPr>
          <w:trHeight w:val="25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002628.SZ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成都路桥</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3.94</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公司通过深圳市华益成路投资合伙企业</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有限合伙</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间接参股深圳国氢新能源科技有限公司，经营范围包括氢燃料电池及其各零部件和相关检测系统的咨询、研发和销售；燃料电池动力系统咨询、研发和销售；制氢、储氢、加氢及氢能相关动力和储能系统的咨询、研发和销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2886553949.64</w:t>
            </w:r>
          </w:p>
        </w:tc>
      </w:tr>
      <w:tr>
        <w:tblPrEx>
          <w:shd w:val="clear" w:color="auto" w:fill="auto"/>
          <w:tblCellMar>
            <w:top w:w="0" w:type="dxa"/>
            <w:left w:w="0" w:type="dxa"/>
            <w:bottom w:w="0" w:type="dxa"/>
            <w:right w:w="0" w:type="dxa"/>
          </w:tblCellMar>
        </w:tblPrEx>
        <w:trPr>
          <w:trHeight w:val="18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601216.SH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君正集团</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5.89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-1.01</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9</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日互动平台回复：公司于</w:t>
            </w: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28</w:t>
            </w:r>
            <w:r>
              <w:rPr>
                <w:rFonts w:hint="eastAsia" w:ascii="宋体" w:hAnsi="宋体" w:eastAsia="宋体" w:cs="宋体"/>
                <w:i w:val="0"/>
                <w:color w:val="152122"/>
                <w:kern w:val="0"/>
                <w:sz w:val="22"/>
                <w:szCs w:val="22"/>
                <w:u w:val="none"/>
                <w:lang w:val="en-US" w:eastAsia="zh-CN" w:bidi="ar"/>
              </w:rPr>
              <w:t>日与氢阳新能源控股有限公司分别签订了《氢能产业战略合作协议》和《增资扩股协议》。</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49699922427.10</w:t>
            </w:r>
          </w:p>
        </w:tc>
      </w:tr>
      <w:tr>
        <w:tblPrEx>
          <w:shd w:val="clear" w:color="auto" w:fill="auto"/>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600746.SH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江苏索普</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6.43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-1.08</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生产氢燃料电池的主要材料水合肼，肼是一种比硼氢化钠含氢量更高的化学氢化物，加入肼既能提高硼氢化钠的稳定性，又能提高燃料的能量密度的肼将使产氢更加方便、能量密度更高，提高燃料电池的工作效率。</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1958976357.79</w:t>
            </w:r>
          </w:p>
        </w:tc>
      </w:tr>
      <w:tr>
        <w:tblPrEx>
          <w:tblCellMar>
            <w:top w:w="0" w:type="dxa"/>
            <w:left w:w="0" w:type="dxa"/>
            <w:bottom w:w="0" w:type="dxa"/>
            <w:right w:w="0" w:type="dxa"/>
          </w:tblCellMar>
        </w:tblPrEx>
        <w:trPr>
          <w:trHeight w:val="19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600875.SH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东方电气</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10.24</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-1.16</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年公司的西部首条氢能及燃料电池批量生产线成功投产，氢能城际客车、物流车样车开发完成，成功举办了成都首届国际氢能及燃料电池产业大会，行业影响力不断提升。</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20448259768.32</w:t>
            </w:r>
          </w:p>
        </w:tc>
      </w:tr>
      <w:tr>
        <w:tblPrEx>
          <w:shd w:val="clear" w:color="auto" w:fill="auto"/>
          <w:tblCellMar>
            <w:top w:w="0" w:type="dxa"/>
            <w:left w:w="0" w:type="dxa"/>
            <w:bottom w:w="0" w:type="dxa"/>
            <w:right w:w="0" w:type="dxa"/>
          </w:tblCellMar>
        </w:tblPrEx>
        <w:trPr>
          <w:trHeight w:val="13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300376.SZ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易事特</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9.83</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-1.21</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2018</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运用自身的储能、充电桩技术与雄韬股份布局氢能应用等新能源产业</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22690071706.08</w:t>
            </w:r>
          </w:p>
        </w:tc>
      </w:tr>
      <w:tr>
        <w:tblPrEx>
          <w:tblCellMar>
            <w:top w:w="0" w:type="dxa"/>
            <w:left w:w="0" w:type="dxa"/>
            <w:bottom w:w="0" w:type="dxa"/>
            <w:right w:w="0" w:type="dxa"/>
          </w:tblCellMar>
        </w:tblPrEx>
        <w:trPr>
          <w:trHeight w:val="16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601678.SH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滨化股份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5.82</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-1.36</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与亿华通合资设立山东滨华氢能源有限公司（公司占比</w:t>
            </w:r>
            <w:r>
              <w:rPr>
                <w:rFonts w:hint="default" w:ascii="Arial" w:hAnsi="Arial" w:eastAsia="宋体" w:cs="Arial"/>
                <w:i w:val="0"/>
                <w:color w:val="152122"/>
                <w:kern w:val="0"/>
                <w:sz w:val="22"/>
                <w:szCs w:val="22"/>
                <w:u w:val="none"/>
                <w:lang w:val="en-US" w:eastAsia="zh-CN" w:bidi="ar"/>
              </w:rPr>
              <w:t>90%</w:t>
            </w:r>
            <w:r>
              <w:rPr>
                <w:rFonts w:hint="eastAsia" w:ascii="宋体" w:hAnsi="宋体" w:eastAsia="宋体" w:cs="宋体"/>
                <w:i w:val="0"/>
                <w:color w:val="152122"/>
                <w:kern w:val="0"/>
                <w:sz w:val="22"/>
                <w:szCs w:val="22"/>
                <w:u w:val="none"/>
                <w:lang w:val="en-US" w:eastAsia="zh-CN" w:bidi="ar"/>
              </w:rPr>
              <w:t>）发展氢能领域技术，主要业务方向是为氢燃料电池汽车加氢站提供合格的氢气</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8988408000.00</w:t>
            </w:r>
          </w:p>
        </w:tc>
      </w:tr>
      <w:tr>
        <w:tblPrEx>
          <w:shd w:val="clear" w:color="auto" w:fill="auto"/>
          <w:tblCellMar>
            <w:top w:w="0" w:type="dxa"/>
            <w:left w:w="0" w:type="dxa"/>
            <w:bottom w:w="0" w:type="dxa"/>
            <w:right w:w="0" w:type="dxa"/>
          </w:tblCellMar>
        </w:tblPrEx>
        <w:trPr>
          <w:trHeight w:val="1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601766.SH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中国中车</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5.51</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-1.43</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12</w:t>
            </w:r>
            <w:r>
              <w:rPr>
                <w:rFonts w:hint="eastAsia" w:ascii="宋体" w:hAnsi="宋体" w:eastAsia="宋体" w:cs="宋体"/>
                <w:i w:val="0"/>
                <w:color w:val="152122"/>
                <w:kern w:val="0"/>
                <w:sz w:val="22"/>
                <w:szCs w:val="22"/>
                <w:u w:val="none"/>
                <w:lang w:val="en-US" w:eastAsia="zh-CN" w:bidi="ar"/>
              </w:rPr>
              <w:t>月，中车四方股份公司研制的氢能源有轨电车投入商业运营</w:t>
            </w:r>
            <w:r>
              <w:rPr>
                <w:rFonts w:hint="default" w:ascii="Arial" w:hAnsi="Arial" w:eastAsia="宋体" w:cs="Arial"/>
                <w:i w:val="0"/>
                <w:color w:val="152122"/>
                <w:kern w:val="0"/>
                <w:sz w:val="22"/>
                <w:szCs w:val="22"/>
                <w:u w:val="none"/>
                <w:lang w:val="en-US" w:eastAsia="zh-CN" w:bidi="ar"/>
              </w:rPr>
              <w:t xml:space="preserve"> </w:t>
            </w:r>
            <w:r>
              <w:rPr>
                <w:rFonts w:hint="eastAsia" w:ascii="宋体" w:hAnsi="宋体" w:eastAsia="宋体" w:cs="宋体"/>
                <w:i w:val="0"/>
                <w:color w:val="152122"/>
                <w:kern w:val="0"/>
                <w:sz w:val="22"/>
                <w:szCs w:val="22"/>
                <w:u w:val="none"/>
                <w:lang w:val="en-US" w:eastAsia="zh-CN" w:bidi="ar"/>
              </w:rPr>
              <w:t>。</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134046167244.48</w:t>
            </w:r>
          </w:p>
        </w:tc>
      </w:tr>
      <w:tr>
        <w:tblPrEx>
          <w:shd w:val="clear" w:color="auto" w:fill="auto"/>
          <w:tblCellMar>
            <w:top w:w="0" w:type="dxa"/>
            <w:left w:w="0" w:type="dxa"/>
            <w:bottom w:w="0" w:type="dxa"/>
            <w:right w:w="0" w:type="dxa"/>
          </w:tblCellMar>
        </w:tblPrEx>
        <w:trPr>
          <w:trHeight w:val="18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603938.SH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三孚股份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25.66</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-1.61</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2019-04-23</w:t>
            </w:r>
            <w:r>
              <w:rPr>
                <w:rFonts w:hint="eastAsia" w:ascii="宋体" w:hAnsi="宋体" w:eastAsia="宋体" w:cs="宋体"/>
                <w:i w:val="0"/>
                <w:color w:val="152122"/>
                <w:kern w:val="0"/>
                <w:sz w:val="22"/>
                <w:szCs w:val="22"/>
                <w:u w:val="none"/>
                <w:lang w:val="en-US" w:eastAsia="zh-CN" w:bidi="ar"/>
              </w:rPr>
              <w:t>互动平台回复在</w:t>
            </w:r>
            <w:r>
              <w:rPr>
                <w:rFonts w:hint="default" w:ascii="Arial" w:hAnsi="Arial" w:eastAsia="宋体" w:cs="Arial"/>
                <w:i w:val="0"/>
                <w:color w:val="152122"/>
                <w:kern w:val="0"/>
                <w:sz w:val="22"/>
                <w:szCs w:val="22"/>
                <w:u w:val="none"/>
                <w:lang w:val="en-US" w:eastAsia="zh-CN" w:bidi="ar"/>
              </w:rPr>
              <w:t>6.5</w:t>
            </w:r>
            <w:r>
              <w:rPr>
                <w:rFonts w:hint="eastAsia" w:ascii="宋体" w:hAnsi="宋体" w:eastAsia="宋体" w:cs="宋体"/>
                <w:i w:val="0"/>
                <w:color w:val="152122"/>
                <w:kern w:val="0"/>
                <w:sz w:val="22"/>
                <w:szCs w:val="22"/>
                <w:u w:val="none"/>
                <w:lang w:val="en-US" w:eastAsia="zh-CN" w:bidi="ar"/>
              </w:rPr>
              <w:t>万吨三氯氢硅产能全部释放的情况下，每年能够产生</w:t>
            </w:r>
            <w:r>
              <w:rPr>
                <w:rFonts w:hint="default" w:ascii="Arial" w:hAnsi="Arial" w:eastAsia="宋体" w:cs="Arial"/>
                <w:i w:val="0"/>
                <w:color w:val="152122"/>
                <w:kern w:val="0"/>
                <w:sz w:val="22"/>
                <w:szCs w:val="22"/>
                <w:u w:val="none"/>
                <w:lang w:val="en-US" w:eastAsia="zh-CN" w:bidi="ar"/>
              </w:rPr>
              <w:t>1,600</w:t>
            </w:r>
            <w:r>
              <w:rPr>
                <w:rFonts w:hint="eastAsia" w:ascii="宋体" w:hAnsi="宋体" w:eastAsia="宋体" w:cs="宋体"/>
                <w:i w:val="0"/>
                <w:color w:val="152122"/>
                <w:kern w:val="0"/>
                <w:sz w:val="22"/>
                <w:szCs w:val="22"/>
                <w:u w:val="none"/>
                <w:lang w:val="en-US" w:eastAsia="zh-CN" w:bidi="ar"/>
              </w:rPr>
              <w:t>万立方米的氢气，可以满足年产约</w:t>
            </w:r>
            <w:r>
              <w:rPr>
                <w:rFonts w:hint="default" w:ascii="Arial" w:hAnsi="Arial" w:eastAsia="宋体" w:cs="Arial"/>
                <w:i w:val="0"/>
                <w:color w:val="152122"/>
                <w:kern w:val="0"/>
                <w:sz w:val="22"/>
                <w:szCs w:val="22"/>
                <w:u w:val="none"/>
                <w:lang w:val="en-US" w:eastAsia="zh-CN" w:bidi="ar"/>
              </w:rPr>
              <w:t>4.2</w:t>
            </w:r>
            <w:r>
              <w:rPr>
                <w:rFonts w:hint="eastAsia" w:ascii="宋体" w:hAnsi="宋体" w:eastAsia="宋体" w:cs="宋体"/>
                <w:i w:val="0"/>
                <w:color w:val="152122"/>
                <w:kern w:val="0"/>
                <w:sz w:val="22"/>
                <w:szCs w:val="22"/>
                <w:u w:val="none"/>
                <w:lang w:val="en-US" w:eastAsia="zh-CN" w:bidi="ar"/>
              </w:rPr>
              <w:t>万吨固体氢氧化钾的需求</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3853274956.00</w:t>
            </w:r>
          </w:p>
        </w:tc>
      </w:tr>
      <w:tr>
        <w:tblPrEx>
          <w:shd w:val="clear" w:color="auto" w:fill="auto"/>
          <w:tblCellMar>
            <w:top w:w="0" w:type="dxa"/>
            <w:left w:w="0" w:type="dxa"/>
            <w:bottom w:w="0" w:type="dxa"/>
            <w:right w:w="0" w:type="dxa"/>
          </w:tblCellMar>
        </w:tblPrEx>
        <w:trPr>
          <w:trHeight w:val="18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000669.SZ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金鸿</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2.34</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-1.68</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与中国华能清能院合作，在张家口地区开展制氢加氢站建设、移动加氢车项目研制，打造氢能产业供应链持续商业化运营示范项目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1592156584.98</w:t>
            </w:r>
          </w:p>
        </w:tc>
      </w:tr>
      <w:tr>
        <w:tblPrEx>
          <w:shd w:val="clear" w:color="auto" w:fill="auto"/>
          <w:tblCellMar>
            <w:top w:w="0" w:type="dxa"/>
            <w:left w:w="0" w:type="dxa"/>
            <w:bottom w:w="0" w:type="dxa"/>
            <w:right w:w="0" w:type="dxa"/>
          </w:tblCellMar>
        </w:tblPrEx>
        <w:trPr>
          <w:trHeight w:val="29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300152.SZ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科融环境</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3.64</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-1.89</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21</w:t>
            </w:r>
            <w:r>
              <w:rPr>
                <w:rFonts w:hint="eastAsia" w:ascii="宋体" w:hAnsi="宋体" w:eastAsia="宋体" w:cs="宋体"/>
                <w:i w:val="0"/>
                <w:color w:val="152122"/>
                <w:kern w:val="0"/>
                <w:sz w:val="22"/>
                <w:szCs w:val="22"/>
                <w:u w:val="none"/>
                <w:lang w:val="en-US" w:eastAsia="zh-CN" w:bidi="ar"/>
              </w:rPr>
              <w:t>日公司在互动平台称：公司目前正在参与北京首个正式市场化运营的加氢站项目总占地约</w:t>
            </w:r>
            <w:r>
              <w:rPr>
                <w:rFonts w:hint="default" w:ascii="Arial" w:hAnsi="Arial" w:eastAsia="宋体" w:cs="Arial"/>
                <w:i w:val="0"/>
                <w:color w:val="152122"/>
                <w:kern w:val="0"/>
                <w:sz w:val="22"/>
                <w:szCs w:val="22"/>
                <w:u w:val="none"/>
                <w:lang w:val="en-US" w:eastAsia="zh-CN" w:bidi="ar"/>
              </w:rPr>
              <w:t>8500</w:t>
            </w:r>
            <w:r>
              <w:rPr>
                <w:rFonts w:hint="eastAsia" w:ascii="宋体" w:hAnsi="宋体" w:eastAsia="宋体" w:cs="宋体"/>
                <w:i w:val="0"/>
                <w:color w:val="152122"/>
                <w:kern w:val="0"/>
                <w:sz w:val="22"/>
                <w:szCs w:val="22"/>
                <w:u w:val="none"/>
                <w:lang w:val="en-US" w:eastAsia="zh-CN" w:bidi="ar"/>
              </w:rPr>
              <w:t>平方米，位于北京市房山区万窑路与启望街交口西北侧，公司计划今年在房山区建成</w:t>
            </w:r>
            <w:r>
              <w:rPr>
                <w:rFonts w:hint="default" w:ascii="Arial" w:hAnsi="Arial" w:eastAsia="宋体" w:cs="Arial"/>
                <w:i w:val="0"/>
                <w:color w:val="152122"/>
                <w:kern w:val="0"/>
                <w:sz w:val="22"/>
                <w:szCs w:val="22"/>
                <w:u w:val="none"/>
                <w:lang w:val="en-US" w:eastAsia="zh-CN" w:bidi="ar"/>
              </w:rPr>
              <w:t>5</w:t>
            </w:r>
            <w:r>
              <w:rPr>
                <w:rFonts w:hint="eastAsia" w:ascii="宋体" w:hAnsi="宋体" w:eastAsia="宋体" w:cs="宋体"/>
                <w:i w:val="0"/>
                <w:color w:val="152122"/>
                <w:kern w:val="0"/>
                <w:sz w:val="22"/>
                <w:szCs w:val="22"/>
                <w:u w:val="none"/>
                <w:lang w:val="en-US" w:eastAsia="zh-CN" w:bidi="ar"/>
              </w:rPr>
              <w:t>座加氢站，</w:t>
            </w:r>
            <w:r>
              <w:rPr>
                <w:rFonts w:hint="default" w:ascii="Arial" w:hAnsi="Arial" w:eastAsia="宋体" w:cs="Arial"/>
                <w:i w:val="0"/>
                <w:color w:val="152122"/>
                <w:kern w:val="0"/>
                <w:sz w:val="22"/>
                <w:szCs w:val="22"/>
                <w:u w:val="none"/>
                <w:lang w:val="en-US" w:eastAsia="zh-CN" w:bidi="ar"/>
              </w:rPr>
              <w:t>2022</w:t>
            </w:r>
            <w:r>
              <w:rPr>
                <w:rFonts w:hint="eastAsia" w:ascii="宋体" w:hAnsi="宋体" w:eastAsia="宋体" w:cs="宋体"/>
                <w:i w:val="0"/>
                <w:color w:val="152122"/>
                <w:kern w:val="0"/>
                <w:sz w:val="22"/>
                <w:szCs w:val="22"/>
                <w:u w:val="none"/>
                <w:lang w:val="en-US" w:eastAsia="zh-CN" w:bidi="ar"/>
              </w:rPr>
              <w:t>年建成</w:t>
            </w:r>
            <w:r>
              <w:rPr>
                <w:rFonts w:hint="default" w:ascii="Arial" w:hAnsi="Arial" w:eastAsia="宋体" w:cs="Arial"/>
                <w:i w:val="0"/>
                <w:color w:val="152122"/>
                <w:kern w:val="0"/>
                <w:sz w:val="22"/>
                <w:szCs w:val="22"/>
                <w:u w:val="none"/>
                <w:lang w:val="en-US" w:eastAsia="zh-CN" w:bidi="ar"/>
              </w:rPr>
              <w:t>15</w:t>
            </w:r>
            <w:r>
              <w:rPr>
                <w:rFonts w:hint="eastAsia" w:ascii="宋体" w:hAnsi="宋体" w:eastAsia="宋体" w:cs="宋体"/>
                <w:i w:val="0"/>
                <w:color w:val="152122"/>
                <w:kern w:val="0"/>
                <w:sz w:val="22"/>
                <w:szCs w:val="22"/>
                <w:u w:val="none"/>
                <w:lang w:val="en-US" w:eastAsia="zh-CN" w:bidi="ar"/>
              </w:rPr>
              <w:t>座加氢站，</w:t>
            </w:r>
            <w:r>
              <w:rPr>
                <w:rFonts w:hint="default" w:ascii="Arial" w:hAnsi="Arial" w:eastAsia="宋体" w:cs="Arial"/>
                <w:i w:val="0"/>
                <w:color w:val="152122"/>
                <w:kern w:val="0"/>
                <w:sz w:val="22"/>
                <w:szCs w:val="22"/>
                <w:u w:val="none"/>
                <w:lang w:val="en-US" w:eastAsia="zh-CN" w:bidi="ar"/>
              </w:rPr>
              <w:t>2025</w:t>
            </w:r>
            <w:r>
              <w:rPr>
                <w:rFonts w:hint="eastAsia" w:ascii="宋体" w:hAnsi="宋体" w:eastAsia="宋体" w:cs="宋体"/>
                <w:i w:val="0"/>
                <w:color w:val="152122"/>
                <w:kern w:val="0"/>
                <w:sz w:val="22"/>
                <w:szCs w:val="22"/>
                <w:u w:val="none"/>
                <w:lang w:val="en-US" w:eastAsia="zh-CN" w:bidi="ar"/>
              </w:rPr>
              <w:t>年建成氢走廊。每个站投资约为近</w:t>
            </w:r>
            <w:r>
              <w:rPr>
                <w:rFonts w:hint="default" w:ascii="Arial" w:hAnsi="Arial" w:eastAsia="宋体" w:cs="Arial"/>
                <w:i w:val="0"/>
                <w:color w:val="152122"/>
                <w:kern w:val="0"/>
                <w:sz w:val="22"/>
                <w:szCs w:val="22"/>
                <w:u w:val="none"/>
                <w:lang w:val="en-US" w:eastAsia="zh-CN" w:bidi="ar"/>
              </w:rPr>
              <w:t>1000</w:t>
            </w:r>
            <w:r>
              <w:rPr>
                <w:rFonts w:hint="eastAsia" w:ascii="宋体" w:hAnsi="宋体" w:eastAsia="宋体" w:cs="宋体"/>
                <w:i w:val="0"/>
                <w:color w:val="152122"/>
                <w:kern w:val="0"/>
                <w:sz w:val="22"/>
                <w:szCs w:val="22"/>
                <w:u w:val="none"/>
                <w:lang w:val="en-US" w:eastAsia="zh-CN" w:bidi="ar"/>
              </w:rPr>
              <w:t>万元至</w:t>
            </w:r>
            <w:r>
              <w:rPr>
                <w:rFonts w:hint="default" w:ascii="Arial" w:hAnsi="Arial" w:eastAsia="宋体" w:cs="Arial"/>
                <w:i w:val="0"/>
                <w:color w:val="152122"/>
                <w:kern w:val="0"/>
                <w:sz w:val="22"/>
                <w:szCs w:val="22"/>
                <w:u w:val="none"/>
                <w:lang w:val="en-US" w:eastAsia="zh-CN" w:bidi="ar"/>
              </w:rPr>
              <w:t>1600</w:t>
            </w:r>
            <w:r>
              <w:rPr>
                <w:rFonts w:hint="eastAsia" w:ascii="宋体" w:hAnsi="宋体" w:eastAsia="宋体" w:cs="宋体"/>
                <w:i w:val="0"/>
                <w:color w:val="152122"/>
                <w:kern w:val="0"/>
                <w:sz w:val="22"/>
                <w:szCs w:val="22"/>
                <w:u w:val="none"/>
                <w:lang w:val="en-US" w:eastAsia="zh-CN" w:bidi="ar"/>
              </w:rPr>
              <w:t>万元，</w:t>
            </w:r>
            <w:r>
              <w:rPr>
                <w:rFonts w:hint="default" w:ascii="Arial" w:hAnsi="Arial" w:eastAsia="宋体" w:cs="Arial"/>
                <w:i w:val="0"/>
                <w:color w:val="152122"/>
                <w:kern w:val="0"/>
                <w:sz w:val="22"/>
                <w:szCs w:val="22"/>
                <w:u w:val="none"/>
                <w:lang w:val="en-US" w:eastAsia="zh-CN" w:bidi="ar"/>
              </w:rPr>
              <w:t>2025</w:t>
            </w:r>
            <w:r>
              <w:rPr>
                <w:rFonts w:hint="eastAsia" w:ascii="宋体" w:hAnsi="宋体" w:eastAsia="宋体" w:cs="宋体"/>
                <w:i w:val="0"/>
                <w:color w:val="152122"/>
                <w:kern w:val="0"/>
                <w:sz w:val="22"/>
                <w:szCs w:val="22"/>
                <w:u w:val="none"/>
                <w:lang w:val="en-US" w:eastAsia="zh-CN" w:bidi="ar"/>
              </w:rPr>
              <w:t>年总投资约为</w:t>
            </w:r>
            <w:r>
              <w:rPr>
                <w:rFonts w:hint="default" w:ascii="Arial" w:hAnsi="Arial" w:eastAsia="宋体" w:cs="Arial"/>
                <w:i w:val="0"/>
                <w:color w:val="152122"/>
                <w:kern w:val="0"/>
                <w:sz w:val="22"/>
                <w:szCs w:val="22"/>
                <w:u w:val="none"/>
                <w:lang w:val="en-US" w:eastAsia="zh-CN" w:bidi="ar"/>
              </w:rPr>
              <w:t>2</w:t>
            </w:r>
            <w:r>
              <w:rPr>
                <w:rFonts w:hint="eastAsia" w:ascii="宋体" w:hAnsi="宋体" w:eastAsia="宋体" w:cs="宋体"/>
                <w:i w:val="0"/>
                <w:color w:val="152122"/>
                <w:kern w:val="0"/>
                <w:sz w:val="22"/>
                <w:szCs w:val="22"/>
                <w:u w:val="none"/>
                <w:lang w:val="en-US" w:eastAsia="zh-CN" w:bidi="ar"/>
              </w:rPr>
              <w:t>亿元。</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2593524570.00</w:t>
            </w:r>
          </w:p>
        </w:tc>
      </w:tr>
      <w:tr>
        <w:tblPrEx>
          <w:tblCellMar>
            <w:top w:w="0" w:type="dxa"/>
            <w:left w:w="0" w:type="dxa"/>
            <w:bottom w:w="0" w:type="dxa"/>
            <w:right w:w="0" w:type="dxa"/>
          </w:tblCellMar>
        </w:tblPrEx>
        <w:trPr>
          <w:trHeight w:val="28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002408.SZ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齐翔腾达</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8.78</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-1.90</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控股子公司山东齐鲁科力化工研究院有限公司专注于石油和化工催化剂的研发、生产和销售，主要产品包括耐硫变换催化剂、制氢催化剂、硫磺回收催化剂和加氢催化剂四大类，广泛应用于石油炼制、石油化工、煤化工领域的耐硫变换、制氢、硫磺回收、加氢精制等工业装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15223241561.76</w:t>
            </w:r>
          </w:p>
        </w:tc>
      </w:tr>
      <w:tr>
        <w:tblPrEx>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002272.SZ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川润股份</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5.58</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-1.93</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6</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29</w:t>
            </w:r>
            <w:r>
              <w:rPr>
                <w:rFonts w:hint="eastAsia" w:ascii="宋体" w:hAnsi="宋体" w:eastAsia="宋体" w:cs="宋体"/>
                <w:i w:val="0"/>
                <w:color w:val="152122"/>
                <w:kern w:val="0"/>
                <w:sz w:val="22"/>
                <w:szCs w:val="22"/>
                <w:u w:val="none"/>
                <w:lang w:val="en-US" w:eastAsia="zh-CN" w:bidi="ar"/>
              </w:rPr>
              <w:t>日公告公司于近日加入</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长三角氢能基础设施产业联盟</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，公司为副理事长</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1826642507.04</w:t>
            </w:r>
          </w:p>
        </w:tc>
      </w:tr>
      <w:tr>
        <w:tblPrEx>
          <w:shd w:val="clear" w:color="auto" w:fill="auto"/>
          <w:tblCellMar>
            <w:top w:w="0" w:type="dxa"/>
            <w:left w:w="0" w:type="dxa"/>
            <w:bottom w:w="0" w:type="dxa"/>
            <w:right w:w="0" w:type="dxa"/>
          </w:tblCellMar>
        </w:tblPrEx>
        <w:trPr>
          <w:trHeight w:val="18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600956.SH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新天绿能</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8.49</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-1.96</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22</w:t>
            </w:r>
            <w:r>
              <w:rPr>
                <w:rFonts w:hint="eastAsia" w:ascii="宋体" w:hAnsi="宋体" w:eastAsia="宋体" w:cs="宋体"/>
                <w:i w:val="0"/>
                <w:color w:val="152122"/>
                <w:kern w:val="0"/>
                <w:sz w:val="22"/>
                <w:szCs w:val="22"/>
                <w:u w:val="none"/>
                <w:lang w:val="en-US" w:eastAsia="zh-CN" w:bidi="ar"/>
              </w:rPr>
              <w:t>日互动平台回复：公司目前在张家口有一个风电制氢示范项目已基本建成，同时，公司仍在积极探索制氢及氢能利用的相关技术储备。</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1144027500.00</w:t>
            </w:r>
          </w:p>
        </w:tc>
      </w:tr>
      <w:tr>
        <w:tblPrEx>
          <w:shd w:val="clear" w:color="auto" w:fill="auto"/>
          <w:tblCellMar>
            <w:top w:w="0" w:type="dxa"/>
            <w:left w:w="0" w:type="dxa"/>
            <w:bottom w:w="0" w:type="dxa"/>
            <w:right w:w="0" w:type="dxa"/>
          </w:tblCellMar>
        </w:tblPrEx>
        <w:trPr>
          <w:trHeight w:val="304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000551.SZ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创元科技</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8.49</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-2.08</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创元科技旗下有子公司苏净集团。公司从事气体设备的生产已有</w:t>
            </w:r>
            <w:r>
              <w:rPr>
                <w:rFonts w:hint="default" w:ascii="Arial" w:hAnsi="Arial" w:eastAsia="宋体" w:cs="Arial"/>
                <w:i w:val="0"/>
                <w:color w:val="152122"/>
                <w:kern w:val="0"/>
                <w:sz w:val="22"/>
                <w:szCs w:val="22"/>
                <w:u w:val="none"/>
                <w:lang w:val="en-US" w:eastAsia="zh-CN" w:bidi="ar"/>
              </w:rPr>
              <w:t>43</w:t>
            </w:r>
            <w:r>
              <w:rPr>
                <w:rFonts w:hint="eastAsia" w:ascii="宋体" w:hAnsi="宋体" w:eastAsia="宋体" w:cs="宋体"/>
                <w:i w:val="0"/>
                <w:color w:val="152122"/>
                <w:kern w:val="0"/>
                <w:sz w:val="22"/>
                <w:szCs w:val="22"/>
                <w:u w:val="none"/>
                <w:lang w:val="en-US" w:eastAsia="zh-CN" w:bidi="ar"/>
              </w:rPr>
              <w:t>年历史，致力于在线气体发生设备和高纯气体纯化设备的开发和研制。公司拥有</w:t>
            </w:r>
            <w:r>
              <w:rPr>
                <w:rFonts w:hint="default" w:ascii="Arial" w:hAnsi="Arial" w:eastAsia="宋体" w:cs="Arial"/>
                <w:i w:val="0"/>
                <w:color w:val="152122"/>
                <w:kern w:val="0"/>
                <w:sz w:val="22"/>
                <w:szCs w:val="22"/>
                <w:u w:val="none"/>
                <w:lang w:val="en-US" w:eastAsia="zh-CN" w:bidi="ar"/>
              </w:rPr>
              <w:t>PSA</w:t>
            </w:r>
            <w:r>
              <w:rPr>
                <w:rFonts w:hint="eastAsia" w:ascii="宋体" w:hAnsi="宋体" w:eastAsia="宋体" w:cs="宋体"/>
                <w:i w:val="0"/>
                <w:color w:val="152122"/>
                <w:kern w:val="0"/>
                <w:sz w:val="22"/>
                <w:szCs w:val="22"/>
                <w:u w:val="none"/>
                <w:lang w:val="en-US" w:eastAsia="zh-CN" w:bidi="ar"/>
              </w:rPr>
              <w:t>、</w:t>
            </w:r>
            <w:r>
              <w:rPr>
                <w:rFonts w:hint="default" w:ascii="Arial" w:hAnsi="Arial" w:eastAsia="宋体" w:cs="Arial"/>
                <w:i w:val="0"/>
                <w:color w:val="152122"/>
                <w:kern w:val="0"/>
                <w:sz w:val="22"/>
                <w:szCs w:val="22"/>
                <w:u w:val="none"/>
                <w:lang w:val="en-US" w:eastAsia="zh-CN" w:bidi="ar"/>
              </w:rPr>
              <w:t>VPSA</w:t>
            </w:r>
            <w:r>
              <w:rPr>
                <w:rFonts w:hint="eastAsia" w:ascii="宋体" w:hAnsi="宋体" w:eastAsia="宋体" w:cs="宋体"/>
                <w:i w:val="0"/>
                <w:color w:val="152122"/>
                <w:kern w:val="0"/>
                <w:sz w:val="22"/>
                <w:szCs w:val="22"/>
                <w:u w:val="none"/>
                <w:lang w:val="en-US" w:eastAsia="zh-CN" w:bidi="ar"/>
              </w:rPr>
              <w:t>制氧，膜分离制氧，</w:t>
            </w:r>
            <w:r>
              <w:rPr>
                <w:rFonts w:hint="default" w:ascii="Arial" w:hAnsi="Arial" w:eastAsia="宋体" w:cs="Arial"/>
                <w:i w:val="0"/>
                <w:color w:val="152122"/>
                <w:kern w:val="0"/>
                <w:sz w:val="22"/>
                <w:szCs w:val="22"/>
                <w:u w:val="none"/>
                <w:lang w:val="en-US" w:eastAsia="zh-CN" w:bidi="ar"/>
              </w:rPr>
              <w:t>PSA</w:t>
            </w:r>
            <w:r>
              <w:rPr>
                <w:rFonts w:hint="eastAsia" w:ascii="宋体" w:hAnsi="宋体" w:eastAsia="宋体" w:cs="宋体"/>
                <w:i w:val="0"/>
                <w:color w:val="152122"/>
                <w:kern w:val="0"/>
                <w:sz w:val="22"/>
                <w:szCs w:val="22"/>
                <w:u w:val="none"/>
                <w:lang w:val="en-US" w:eastAsia="zh-CN" w:bidi="ar"/>
              </w:rPr>
              <w:t>制氮、膜分离制氮，氨分解制氢，各种气体纯化等专业设备生产能力，生产的各种型类气体设备已超过一万台。</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3396682638.45</w:t>
            </w:r>
          </w:p>
        </w:tc>
      </w:tr>
      <w:tr>
        <w:tblPrEx>
          <w:shd w:val="clear" w:color="auto" w:fill="auto"/>
          <w:tblCellMar>
            <w:top w:w="0" w:type="dxa"/>
            <w:left w:w="0" w:type="dxa"/>
            <w:bottom w:w="0" w:type="dxa"/>
            <w:right w:w="0" w:type="dxa"/>
          </w:tblCellMar>
        </w:tblPrEx>
        <w:trPr>
          <w:trHeight w:val="15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600470.SH</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*ST</w:t>
            </w:r>
            <w:r>
              <w:rPr>
                <w:rFonts w:hint="eastAsia" w:ascii="宋体" w:hAnsi="宋体" w:eastAsia="宋体" w:cs="宋体"/>
                <w:i w:val="0"/>
                <w:color w:val="152122"/>
                <w:kern w:val="0"/>
                <w:sz w:val="22"/>
                <w:szCs w:val="22"/>
                <w:u w:val="none"/>
                <w:lang w:val="en-US" w:eastAsia="zh-CN" w:bidi="ar"/>
              </w:rPr>
              <w:t>六化</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4.15</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-2.12</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w:t>
            </w:r>
            <w:r>
              <w:rPr>
                <w:rFonts w:hint="default" w:ascii="Arial" w:hAnsi="Arial" w:eastAsia="宋体" w:cs="Arial"/>
                <w:i w:val="0"/>
                <w:color w:val="152122"/>
                <w:kern w:val="0"/>
                <w:sz w:val="22"/>
                <w:szCs w:val="22"/>
                <w:u w:val="none"/>
                <w:lang w:val="en-US" w:eastAsia="zh-CN" w:bidi="ar"/>
              </w:rPr>
              <w:t>18</w:t>
            </w:r>
            <w:r>
              <w:rPr>
                <w:rFonts w:hint="eastAsia" w:ascii="宋体" w:hAnsi="宋体" w:eastAsia="宋体" w:cs="宋体"/>
                <w:i w:val="0"/>
                <w:color w:val="152122"/>
                <w:kern w:val="0"/>
                <w:sz w:val="22"/>
                <w:szCs w:val="22"/>
                <w:u w:val="none"/>
                <w:lang w:val="en-US" w:eastAsia="zh-CN" w:bidi="ar"/>
              </w:rPr>
              <w:t>年年报称，煤制氢项目本年度投入金额</w:t>
            </w:r>
            <w:r>
              <w:rPr>
                <w:rFonts w:hint="default" w:ascii="Arial" w:hAnsi="Arial" w:eastAsia="宋体" w:cs="Arial"/>
                <w:i w:val="0"/>
                <w:color w:val="152122"/>
                <w:kern w:val="0"/>
                <w:sz w:val="22"/>
                <w:szCs w:val="22"/>
                <w:u w:val="none"/>
                <w:lang w:val="en-US" w:eastAsia="zh-CN" w:bidi="ar"/>
              </w:rPr>
              <w:t>30,232,557.78</w:t>
            </w:r>
            <w:r>
              <w:rPr>
                <w:rFonts w:hint="eastAsia" w:ascii="宋体" w:hAnsi="宋体" w:eastAsia="宋体" w:cs="宋体"/>
                <w:i w:val="0"/>
                <w:color w:val="152122"/>
                <w:kern w:val="0"/>
                <w:sz w:val="22"/>
                <w:szCs w:val="22"/>
                <w:u w:val="none"/>
                <w:lang w:val="en-US" w:eastAsia="zh-CN" w:bidi="ar"/>
              </w:rPr>
              <w:t>元人民币</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2164640000.00</w:t>
            </w:r>
          </w:p>
        </w:tc>
      </w:tr>
      <w:tr>
        <w:tblPrEx>
          <w:shd w:val="clear" w:color="auto" w:fill="auto"/>
          <w:tblCellMar>
            <w:top w:w="0" w:type="dxa"/>
            <w:left w:w="0" w:type="dxa"/>
            <w:bottom w:w="0" w:type="dxa"/>
            <w:right w:w="0" w:type="dxa"/>
          </w:tblCellMar>
        </w:tblPrEx>
        <w:trPr>
          <w:trHeight w:val="17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300234.SZ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开尔新材</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7.47</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-2.48</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开尔新材增资舜华新能源，标的公司成功开发多款加氢产品，是上海氢能利用工程技术研究中心的依托单位，并营运</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中国氢能源网</w:t>
            </w:r>
            <w:r>
              <w:rPr>
                <w:rFonts w:hint="default" w:ascii="Arial" w:hAnsi="Arial" w:eastAsia="宋体" w:cs="Arial"/>
                <w:i w:val="0"/>
                <w:color w:val="152122"/>
                <w:kern w:val="0"/>
                <w:sz w:val="22"/>
                <w:szCs w:val="22"/>
                <w:u w:val="none"/>
                <w:lang w:val="en-US" w:eastAsia="zh-CN" w:bidi="ar"/>
              </w:rPr>
              <w:t>”</w:t>
            </w:r>
            <w:r>
              <w:rPr>
                <w:rFonts w:hint="eastAsia" w:ascii="宋体" w:hAnsi="宋体" w:eastAsia="宋体" w:cs="宋体"/>
                <w:i w:val="0"/>
                <w:color w:val="152122"/>
                <w:kern w:val="0"/>
                <w:sz w:val="22"/>
                <w:szCs w:val="22"/>
                <w:u w:val="none"/>
                <w:lang w:val="en-US" w:eastAsia="zh-CN" w:bidi="ar"/>
              </w:rPr>
              <w:t>。</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2363615276.67</w:t>
            </w:r>
          </w:p>
        </w:tc>
      </w:tr>
      <w:tr>
        <w:tblPrEx>
          <w:shd w:val="clear" w:color="auto" w:fill="auto"/>
          <w:tblCellMar>
            <w:top w:w="0" w:type="dxa"/>
            <w:left w:w="0" w:type="dxa"/>
            <w:bottom w:w="0" w:type="dxa"/>
            <w:right w:w="0" w:type="dxa"/>
          </w:tblCellMar>
        </w:tblPrEx>
        <w:trPr>
          <w:trHeight w:val="268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300274.SZ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阳光电源</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46.36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-2.95</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2020</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w:t>
            </w:r>
            <w:r>
              <w:rPr>
                <w:rFonts w:hint="eastAsia" w:ascii="宋体" w:hAnsi="宋体" w:eastAsia="宋体" w:cs="宋体"/>
                <w:i w:val="0"/>
                <w:color w:val="152122"/>
                <w:kern w:val="0"/>
                <w:sz w:val="22"/>
                <w:szCs w:val="22"/>
                <w:u w:val="none"/>
                <w:lang w:val="en-US" w:eastAsia="zh-CN" w:bidi="ar"/>
              </w:rPr>
              <w:t>日公司在互动平台称：公司成立了专门的氢能事业部，并与中国科学院大连化学物理研究所，以大功率</w:t>
            </w:r>
            <w:r>
              <w:rPr>
                <w:rFonts w:hint="default" w:ascii="Arial" w:hAnsi="Arial" w:eastAsia="宋体" w:cs="Arial"/>
                <w:i w:val="0"/>
                <w:color w:val="152122"/>
                <w:kern w:val="0"/>
                <w:sz w:val="22"/>
                <w:szCs w:val="22"/>
                <w:u w:val="none"/>
                <w:lang w:val="en-US" w:eastAsia="zh-CN" w:bidi="ar"/>
              </w:rPr>
              <w:t>PEM</w:t>
            </w:r>
            <w:r>
              <w:rPr>
                <w:rFonts w:hint="eastAsia" w:ascii="宋体" w:hAnsi="宋体" w:eastAsia="宋体" w:cs="宋体"/>
                <w:i w:val="0"/>
                <w:color w:val="152122"/>
                <w:kern w:val="0"/>
                <w:sz w:val="22"/>
                <w:szCs w:val="22"/>
                <w:u w:val="none"/>
                <w:lang w:val="en-US" w:eastAsia="zh-CN" w:bidi="ar"/>
              </w:rPr>
              <w:t>电解制氢装备的研究开发为核心，同时在先进</w:t>
            </w:r>
            <w:r>
              <w:rPr>
                <w:rFonts w:hint="default" w:ascii="Arial" w:hAnsi="Arial" w:eastAsia="宋体" w:cs="Arial"/>
                <w:i w:val="0"/>
                <w:color w:val="152122"/>
                <w:kern w:val="0"/>
                <w:sz w:val="22"/>
                <w:szCs w:val="22"/>
                <w:u w:val="none"/>
                <w:lang w:val="en-US" w:eastAsia="zh-CN" w:bidi="ar"/>
              </w:rPr>
              <w:t>PEM</w:t>
            </w:r>
            <w:r>
              <w:rPr>
                <w:rFonts w:hint="eastAsia" w:ascii="宋体" w:hAnsi="宋体" w:eastAsia="宋体" w:cs="宋体"/>
                <w:i w:val="0"/>
                <w:color w:val="152122"/>
                <w:kern w:val="0"/>
                <w:sz w:val="22"/>
                <w:szCs w:val="22"/>
                <w:u w:val="none"/>
                <w:lang w:val="en-US" w:eastAsia="zh-CN" w:bidi="ar"/>
              </w:rPr>
              <w:t>电解制氢技术、可再生能源与电解制氢融合、制氢系统优化等方面展开合作，目前公司已签订光伏制氢示范项目。</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50263090170.36</w:t>
            </w:r>
          </w:p>
        </w:tc>
      </w:tr>
      <w:tr>
        <w:tblPrEx>
          <w:shd w:val="clear" w:color="auto" w:fill="auto"/>
          <w:tblCellMar>
            <w:top w:w="0" w:type="dxa"/>
            <w:left w:w="0" w:type="dxa"/>
            <w:bottom w:w="0" w:type="dxa"/>
            <w:right w:w="0" w:type="dxa"/>
          </w:tblCellMar>
        </w:tblPrEx>
        <w:trPr>
          <w:trHeight w:val="260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300157.SZ</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恒泰艾普</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4.81</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-3.99</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2019</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4</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28</w:t>
            </w:r>
            <w:r>
              <w:rPr>
                <w:rFonts w:hint="eastAsia" w:ascii="宋体" w:hAnsi="宋体" w:eastAsia="宋体" w:cs="宋体"/>
                <w:i w:val="0"/>
                <w:color w:val="152122"/>
                <w:kern w:val="0"/>
                <w:sz w:val="22"/>
                <w:szCs w:val="22"/>
                <w:u w:val="none"/>
                <w:lang w:val="en-US" w:eastAsia="zh-CN" w:bidi="ar"/>
              </w:rPr>
              <w:t>日互动平台回复：恒泰艾普集团有涉及氢能源开发方面的技术，主要以川油设计公司、新锦化机公司、恒泰洁能公司三家公司为主，构成了氢能源设计、技术研发、压缩机、膨胀机、压力容器、液化</w:t>
            </w:r>
            <w:r>
              <w:rPr>
                <w:rFonts w:hint="default" w:ascii="Arial" w:hAnsi="Arial" w:eastAsia="宋体" w:cs="Arial"/>
                <w:i w:val="0"/>
                <w:color w:val="152122"/>
                <w:kern w:val="0"/>
                <w:sz w:val="22"/>
                <w:szCs w:val="22"/>
                <w:u w:val="none"/>
                <w:lang w:val="en-US" w:eastAsia="zh-CN" w:bidi="ar"/>
              </w:rPr>
              <w:t>H-CNG</w:t>
            </w:r>
            <w:r>
              <w:rPr>
                <w:rFonts w:hint="eastAsia" w:ascii="宋体" w:hAnsi="宋体" w:eastAsia="宋体" w:cs="宋体"/>
                <w:i w:val="0"/>
                <w:color w:val="152122"/>
                <w:kern w:val="0"/>
                <w:sz w:val="22"/>
                <w:szCs w:val="22"/>
                <w:u w:val="none"/>
                <w:lang w:val="en-US" w:eastAsia="zh-CN" w:bidi="ar"/>
              </w:rPr>
              <w:t>、精制（燃料电池用）、天然气掺氢应用的配套技术。</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3401006464.31</w:t>
            </w:r>
          </w:p>
        </w:tc>
      </w:tr>
      <w:tr>
        <w:tblPrEx>
          <w:tblCellMar>
            <w:top w:w="0" w:type="dxa"/>
            <w:left w:w="0" w:type="dxa"/>
            <w:bottom w:w="0" w:type="dxa"/>
            <w:right w:w="0" w:type="dxa"/>
          </w:tblCellMar>
        </w:tblPrEx>
        <w:trPr>
          <w:trHeight w:val="126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002080.SZ</w:t>
            </w:r>
          </w:p>
        </w:tc>
        <w:tc>
          <w:tcPr>
            <w:tcW w:w="109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中材科技</w:t>
            </w:r>
          </w:p>
        </w:tc>
        <w:tc>
          <w:tcPr>
            <w:tcW w:w="97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18.76</w:t>
            </w:r>
          </w:p>
        </w:tc>
        <w:tc>
          <w:tcPr>
            <w:tcW w:w="114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-9.94</w:t>
            </w:r>
          </w:p>
        </w:tc>
        <w:tc>
          <w:tcPr>
            <w:tcW w:w="3525"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公司已开发储氢瓶。</w:t>
            </w:r>
          </w:p>
        </w:tc>
        <w:tc>
          <w:tcPr>
            <w:tcW w:w="1830" w:type="dxa"/>
            <w:tcBorders>
              <w:top w:val="single" w:color="1C7A80" w:sz="8" w:space="0"/>
              <w:left w:val="single" w:color="1C7A80" w:sz="8" w:space="0"/>
              <w:bottom w:val="single" w:color="1C7A80" w:sz="8" w:space="0"/>
              <w:right w:val="single" w:color="1C7A80" w:sz="8"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31481598435.84</w:t>
            </w:r>
          </w:p>
        </w:tc>
      </w:tr>
      <w:tr>
        <w:tblPrEx>
          <w:tblCellMar>
            <w:top w:w="0" w:type="dxa"/>
            <w:left w:w="0" w:type="dxa"/>
            <w:bottom w:w="0" w:type="dxa"/>
            <w:right w:w="0" w:type="dxa"/>
          </w:tblCellMar>
        </w:tblPrEx>
        <w:trPr>
          <w:trHeight w:val="2320" w:hRule="atLeast"/>
        </w:trPr>
        <w:tc>
          <w:tcPr>
            <w:tcW w:w="121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600248.SH</w:t>
            </w:r>
          </w:p>
        </w:tc>
        <w:tc>
          <w:tcPr>
            <w:tcW w:w="109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延长化建</w:t>
            </w:r>
          </w:p>
        </w:tc>
        <w:tc>
          <w:tcPr>
            <w:tcW w:w="97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w:t>
            </w:r>
          </w:p>
        </w:tc>
        <w:tc>
          <w:tcPr>
            <w:tcW w:w="114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w:t>
            </w:r>
          </w:p>
        </w:tc>
        <w:tc>
          <w:tcPr>
            <w:tcW w:w="3525"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152122"/>
                <w:sz w:val="22"/>
                <w:szCs w:val="22"/>
                <w:u w:val="none"/>
              </w:rPr>
            </w:pPr>
            <w:r>
              <w:rPr>
                <w:rFonts w:hint="eastAsia" w:ascii="宋体" w:hAnsi="宋体" w:eastAsia="宋体" w:cs="宋体"/>
                <w:i w:val="0"/>
                <w:color w:val="152122"/>
                <w:kern w:val="0"/>
                <w:sz w:val="22"/>
                <w:szCs w:val="22"/>
                <w:u w:val="none"/>
                <w:lang w:val="en-US" w:eastAsia="zh-CN" w:bidi="ar"/>
              </w:rPr>
              <w:t>官网称公司</w:t>
            </w:r>
            <w:r>
              <w:rPr>
                <w:rFonts w:hint="default" w:ascii="Arial" w:hAnsi="Arial" w:eastAsia="宋体" w:cs="Arial"/>
                <w:i w:val="0"/>
                <w:color w:val="152122"/>
                <w:kern w:val="0"/>
                <w:sz w:val="22"/>
                <w:szCs w:val="22"/>
                <w:u w:val="none"/>
                <w:lang w:val="en-US" w:eastAsia="zh-CN" w:bidi="ar"/>
              </w:rPr>
              <w:t>18</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3</w:t>
            </w:r>
            <w:r>
              <w:rPr>
                <w:rFonts w:hint="eastAsia" w:ascii="宋体" w:hAnsi="宋体" w:eastAsia="宋体" w:cs="宋体"/>
                <w:i w:val="0"/>
                <w:color w:val="152122"/>
                <w:kern w:val="0"/>
                <w:sz w:val="22"/>
                <w:szCs w:val="22"/>
                <w:u w:val="none"/>
                <w:lang w:val="en-US" w:eastAsia="zh-CN" w:bidi="ar"/>
              </w:rPr>
              <w:t>月</w:t>
            </w:r>
            <w:r>
              <w:rPr>
                <w:rFonts w:hint="default" w:ascii="Arial" w:hAnsi="Arial" w:eastAsia="宋体" w:cs="Arial"/>
                <w:i w:val="0"/>
                <w:color w:val="152122"/>
                <w:kern w:val="0"/>
                <w:sz w:val="22"/>
                <w:szCs w:val="22"/>
                <w:u w:val="none"/>
                <w:lang w:val="en-US" w:eastAsia="zh-CN" w:bidi="ar"/>
              </w:rPr>
              <w:t>7</w:t>
            </w:r>
            <w:r>
              <w:rPr>
                <w:rFonts w:hint="eastAsia" w:ascii="宋体" w:hAnsi="宋体" w:eastAsia="宋体" w:cs="宋体"/>
                <w:i w:val="0"/>
                <w:color w:val="152122"/>
                <w:kern w:val="0"/>
                <w:sz w:val="22"/>
                <w:szCs w:val="22"/>
                <w:u w:val="none"/>
                <w:lang w:val="en-US" w:eastAsia="zh-CN" w:bidi="ar"/>
              </w:rPr>
              <w:t>日，由公司承建的马来西亚炼油化工一体化项目（简称</w:t>
            </w:r>
            <w:r>
              <w:rPr>
                <w:rFonts w:hint="default" w:ascii="Arial" w:hAnsi="Arial" w:eastAsia="宋体" w:cs="Arial"/>
                <w:i w:val="0"/>
                <w:color w:val="152122"/>
                <w:kern w:val="0"/>
                <w:sz w:val="22"/>
                <w:szCs w:val="22"/>
                <w:u w:val="none"/>
                <w:lang w:val="en-US" w:eastAsia="zh-CN" w:bidi="ar"/>
              </w:rPr>
              <w:t>RAPID</w:t>
            </w:r>
            <w:r>
              <w:rPr>
                <w:rFonts w:hint="eastAsia" w:ascii="宋体" w:hAnsi="宋体" w:eastAsia="宋体" w:cs="宋体"/>
                <w:i w:val="0"/>
                <w:color w:val="152122"/>
                <w:kern w:val="0"/>
                <w:sz w:val="22"/>
                <w:szCs w:val="22"/>
                <w:u w:val="none"/>
                <w:lang w:val="en-US" w:eastAsia="zh-CN" w:bidi="ar"/>
              </w:rPr>
              <w:t>）</w:t>
            </w:r>
            <w:r>
              <w:rPr>
                <w:rFonts w:hint="default" w:ascii="Arial" w:hAnsi="Arial" w:eastAsia="宋体" w:cs="Arial"/>
                <w:i w:val="0"/>
                <w:color w:val="152122"/>
                <w:kern w:val="0"/>
                <w:sz w:val="22"/>
                <w:szCs w:val="22"/>
                <w:u w:val="none"/>
                <w:lang w:val="en-US" w:eastAsia="zh-CN" w:bidi="ar"/>
              </w:rPr>
              <w:t>4550</w:t>
            </w:r>
            <w:r>
              <w:rPr>
                <w:rFonts w:hint="eastAsia" w:ascii="宋体" w:hAnsi="宋体" w:eastAsia="宋体" w:cs="宋体"/>
                <w:i w:val="0"/>
                <w:color w:val="152122"/>
                <w:kern w:val="0"/>
                <w:sz w:val="22"/>
                <w:szCs w:val="22"/>
                <w:u w:val="none"/>
                <w:lang w:val="en-US" w:eastAsia="zh-CN" w:bidi="ar"/>
              </w:rPr>
              <w:t>燃料油装置顺利实现机械竣工目标，公司主要承担渣油加氢单元、氢气收集及分配单元、燃料油系统单元安装工程，该项目于</w:t>
            </w:r>
            <w:r>
              <w:rPr>
                <w:rFonts w:hint="default" w:ascii="Arial" w:hAnsi="Arial" w:eastAsia="宋体" w:cs="Arial"/>
                <w:i w:val="0"/>
                <w:color w:val="152122"/>
                <w:kern w:val="0"/>
                <w:sz w:val="22"/>
                <w:szCs w:val="22"/>
                <w:u w:val="none"/>
                <w:lang w:val="en-US" w:eastAsia="zh-CN" w:bidi="ar"/>
              </w:rPr>
              <w:t>2017</w:t>
            </w:r>
            <w:r>
              <w:rPr>
                <w:rFonts w:hint="eastAsia" w:ascii="宋体" w:hAnsi="宋体" w:eastAsia="宋体" w:cs="宋体"/>
                <w:i w:val="0"/>
                <w:color w:val="152122"/>
                <w:kern w:val="0"/>
                <w:sz w:val="22"/>
                <w:szCs w:val="22"/>
                <w:u w:val="none"/>
                <w:lang w:val="en-US" w:eastAsia="zh-CN" w:bidi="ar"/>
              </w:rPr>
              <w:t>年</w:t>
            </w:r>
            <w:r>
              <w:rPr>
                <w:rFonts w:hint="default" w:ascii="Arial" w:hAnsi="Arial" w:eastAsia="宋体" w:cs="Arial"/>
                <w:i w:val="0"/>
                <w:color w:val="152122"/>
                <w:kern w:val="0"/>
                <w:sz w:val="22"/>
                <w:szCs w:val="22"/>
                <w:u w:val="none"/>
                <w:lang w:val="en-US" w:eastAsia="zh-CN" w:bidi="ar"/>
              </w:rPr>
              <w:t>8</w:t>
            </w:r>
            <w:r>
              <w:rPr>
                <w:rFonts w:hint="eastAsia" w:ascii="宋体" w:hAnsi="宋体" w:eastAsia="宋体" w:cs="宋体"/>
                <w:i w:val="0"/>
                <w:color w:val="152122"/>
                <w:kern w:val="0"/>
                <w:sz w:val="22"/>
                <w:szCs w:val="22"/>
                <w:u w:val="none"/>
                <w:lang w:val="en-US" w:eastAsia="zh-CN" w:bidi="ar"/>
              </w:rPr>
              <w:t>月开工，总工期为</w:t>
            </w:r>
            <w:r>
              <w:rPr>
                <w:rFonts w:hint="default" w:ascii="Arial" w:hAnsi="Arial" w:eastAsia="宋体" w:cs="Arial"/>
                <w:i w:val="0"/>
                <w:color w:val="152122"/>
                <w:kern w:val="0"/>
                <w:sz w:val="22"/>
                <w:szCs w:val="22"/>
                <w:u w:val="none"/>
                <w:lang w:val="en-US" w:eastAsia="zh-CN" w:bidi="ar"/>
              </w:rPr>
              <w:t>52</w:t>
            </w:r>
            <w:r>
              <w:rPr>
                <w:rFonts w:hint="eastAsia" w:ascii="宋体" w:hAnsi="宋体" w:eastAsia="宋体" w:cs="宋体"/>
                <w:i w:val="0"/>
                <w:color w:val="152122"/>
                <w:kern w:val="0"/>
                <w:sz w:val="22"/>
                <w:szCs w:val="22"/>
                <w:u w:val="none"/>
                <w:lang w:val="en-US" w:eastAsia="zh-CN" w:bidi="ar"/>
              </w:rPr>
              <w:t>个月</w:t>
            </w:r>
          </w:p>
        </w:tc>
        <w:tc>
          <w:tcPr>
            <w:tcW w:w="1830" w:type="dxa"/>
            <w:tcBorders>
              <w:top w:val="single" w:color="1C7A80" w:sz="8" w:space="0"/>
              <w:left w:val="single" w:color="1C7A80" w:sz="8" w:space="0"/>
              <w:bottom w:val="single" w:color="1C7A80" w:sz="8" w:space="0"/>
              <w:right w:val="single" w:color="1C7A80" w:sz="8" w:space="0"/>
            </w:tcBorders>
            <w:shd w:val="clear" w:color="auto" w:fill="F1F1F1" w:themeFill="background1" w:themeFillShade="F2"/>
            <w:tcMar>
              <w:top w:w="15" w:type="dxa"/>
              <w:left w:w="15" w:type="dxa"/>
              <w:right w:w="15" w:type="dxa"/>
            </w:tcMar>
            <w:vAlign w:val="center"/>
          </w:tcPr>
          <w:p>
            <w:pPr>
              <w:keepNext w:val="0"/>
              <w:keepLines w:val="0"/>
              <w:widowControl/>
              <w:suppressLineNumbers w:val="0"/>
              <w:jc w:val="center"/>
              <w:textAlignment w:val="center"/>
              <w:rPr>
                <w:rFonts w:hint="default" w:ascii="Arial" w:hAnsi="Arial" w:eastAsia="宋体" w:cs="Arial"/>
                <w:i w:val="0"/>
                <w:color w:val="152122"/>
                <w:sz w:val="22"/>
                <w:szCs w:val="22"/>
                <w:u w:val="none"/>
              </w:rPr>
            </w:pPr>
            <w:r>
              <w:rPr>
                <w:rFonts w:hint="default" w:ascii="Arial" w:hAnsi="Arial" w:eastAsia="宋体" w:cs="Arial"/>
                <w:i w:val="0"/>
                <w:color w:val="152122"/>
                <w:kern w:val="0"/>
                <w:sz w:val="22"/>
                <w:szCs w:val="22"/>
                <w:u w:val="none"/>
                <w:lang w:val="en-US" w:eastAsia="zh-CN" w:bidi="ar"/>
              </w:rPr>
              <w:t>2725238865.60</w:t>
            </w:r>
          </w:p>
        </w:tc>
      </w:tr>
    </w:tbl>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wordWrap w:val="0"/>
        <w:spacing w:before="74"/>
        <w:ind w:right="1018"/>
        <w:jc w:val="right"/>
        <w:rPr>
          <w:rFonts w:hint="default" w:ascii="楷体" w:hAnsi="楷体" w:eastAsia="楷体" w:cs="楷体"/>
          <w:b w:val="0"/>
          <w:bCs w:val="0"/>
          <w:sz w:val="21"/>
          <w:szCs w:val="21"/>
          <w:lang w:val="en-US" w:eastAsia="zh-CN" w:bidi="zh-CN"/>
        </w:rPr>
      </w:pPr>
      <w:r>
        <w:rPr>
          <w:rFonts w:hint="eastAsia" w:ascii="楷体" w:hAnsi="楷体" w:eastAsia="楷体" w:cs="楷体"/>
          <w:b w:val="0"/>
          <w:bCs w:val="0"/>
          <w:sz w:val="21"/>
          <w:szCs w:val="21"/>
          <w:lang w:val="en-US" w:eastAsia="zh-CN" w:bidi="zh-CN"/>
        </w:rPr>
        <w:t>数据来源：同花顺、氢能俱乐部</w:t>
      </w: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r>
        <w:rPr>
          <w:sz w:val="24"/>
        </w:rPr>
        <w:pict>
          <v:shape id="_x0000_s3265" o:spid="_x0000_s3265" o:spt="202" type="#_x0000_t202" style="position:absolute;left:0pt;margin-left:44.25pt;margin-top:10.95pt;height:555.5pt;width:491.8pt;z-index:254538752;mso-width-relative:page;mso-height-relative:page;" fillcolor="#FFFFFF" filled="t" stroked="f" coordsize="21600,21600">
            <v:path/>
            <v:fill on="t" color2="#FFFFFF" focussize="0,0"/>
            <v:stroke on="f"/>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重要声明：</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本周报由氢能俱乐部制作。本报告基于本公司认为可靠的、已公开的信息编制，但本公司对该等信息的真实性、准确性及完整性不作任何保证。本报告所载的意见、评估及预测仅为本报告出具日的观点和判断，该等意见、评估及预测无需通知即可随时更改。在不同时期，本公司可能会发出与本报告所载意见、评估及预测不一致的研究报告。对依据或者使用本报告及本公司其他相关研究报告所造成的一切后果，本公司及作者不承担任何法律责任。</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对于本报告可能附带的其它网站地址或超级链接，本公司不对其内容负责，链接内容不构成本报告的任何部分，仅为方便客户查阅所用，浏览这些网站可能产生的费用和风险由使用者自行承担。</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本报告版权仅为本公司所有。未经本公司书面许可，任何机构或个人不得以翻版、复制、发表、引用或再次分发他人等任何形式侵犯本公司版权。如征得意进行引用、刊发的，需在允许的范围内使用，并注明出处为“氢能俱乐部”，且不得对本报告进行任何有悖原意的引用、删节和修改。如未经氢能俱乐部授权，私自转载或者转发本报告，所引起的一切后果及法律责任由私自转载或转发者承担。本公司保留追究相关责任的权利。所有本报告中使用的商标、服务标记及标记均为本公司的商标、服务标记及标记。 </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楷体" w:hAnsi="楷体" w:eastAsia="楷体" w:cs="楷体"/>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楷体" w:hAnsi="楷体" w:eastAsia="楷体" w:cs="楷体"/>
                      <w:b w:val="0"/>
                      <w:bCs w:val="0"/>
                      <w:sz w:val="24"/>
                      <w:szCs w:val="24"/>
                      <w:lang w:val="en-US" w:eastAsia="zh-CN"/>
                    </w:rPr>
                  </w:pPr>
                </w:p>
              </w:txbxContent>
            </v:textbox>
          </v:shape>
        </w:pict>
      </w:r>
    </w:p>
    <w:p>
      <w:pPr>
        <w:pStyle w:val="4"/>
        <w:spacing w:before="74"/>
        <w:ind w:right="1018"/>
        <w:jc w:val="left"/>
        <w:rPr>
          <w:rFonts w:ascii="Times New Roman" w:eastAsia="Times New Roman"/>
        </w:rPr>
      </w:pPr>
    </w:p>
    <w:p>
      <w:pPr>
        <w:pStyle w:val="4"/>
        <w:spacing w:before="74"/>
        <w:ind w:right="1018"/>
        <w:jc w:val="lef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74"/>
        <w:ind w:right="1018"/>
        <w:jc w:val="right"/>
        <w:rPr>
          <w:rFonts w:ascii="Times New Roman" w:eastAsia="Times New Roman"/>
        </w:rPr>
      </w:pPr>
    </w:p>
    <w:p>
      <w:pPr>
        <w:pStyle w:val="4"/>
        <w:spacing w:before="148" w:line="280" w:lineRule="auto"/>
        <w:ind w:right="1017"/>
        <w:jc w:val="both"/>
      </w:pPr>
    </w:p>
    <w:sectPr>
      <w:pgSz w:w="11910" w:h="16840"/>
      <w:pgMar w:top="1260" w:right="0" w:bottom="1260" w:left="120" w:header="417" w:footer="107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520.75pt;margin-top:776.95pt;height:12pt;width:24.65pt;mso-position-horizontal-relative:page;mso-position-vertical-relative:page;z-index:-260284416;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b/>
                    <w:sz w:val="18"/>
                  </w:rPr>
                </w:pPr>
                <w:r>
                  <w:fldChar w:fldCharType="begin"/>
                </w:r>
                <w:r>
                  <w:rPr>
                    <w:rFonts w:ascii="Times New Roman"/>
                    <w:b/>
                    <w:sz w:val="18"/>
                  </w:rPr>
                  <w:instrText xml:space="preserve"> PAGE </w:instrText>
                </w:r>
                <w:r>
                  <w:fldChar w:fldCharType="separate"/>
                </w:r>
                <w:r>
                  <w:t>1</w:t>
                </w:r>
                <w:r>
                  <w:fldChar w:fldCharType="end"/>
                </w:r>
                <w:r>
                  <w:rPr>
                    <w:rFonts w:ascii="Times New Roman"/>
                    <w:b/>
                    <w:sz w:val="18"/>
                  </w:rPr>
                  <w:t xml:space="preserve"> </w:t>
                </w:r>
                <w:r>
                  <w:rPr>
                    <w:rFonts w:ascii="Times New Roman"/>
                    <w:sz w:val="18"/>
                  </w:rPr>
                  <w:t xml:space="preserve">/ </w:t>
                </w:r>
                <w:r>
                  <w:rPr>
                    <w:rFonts w:ascii="Times New Roman"/>
                    <w:b/>
                    <w:sz w:val="18"/>
                  </w:rPr>
                  <w:t>21</w:t>
                </w:r>
              </w:p>
            </w:txbxContent>
          </v:textbox>
        </v:shape>
      </w:pict>
    </w:r>
    <w:r>
      <w:pict>
        <v:shape id="_x0000_s2050" o:spid="_x0000_s2050" o:spt="202" type="#_x0000_t202" style="position:absolute;left:0pt;margin-left:191.5pt;margin-top:799.4pt;height:12.6pt;width:222.75pt;mso-position-horizontal-relative:page;mso-position-vertical-relative:page;z-index:-260283392;mso-width-relative:page;mso-height-relative:page;" filled="f" stroked="f" coordsize="21600,21600">
          <v:path/>
          <v:fill on="f" focussize="0,0"/>
          <v:stroke on="f" joinstyle="miter"/>
          <v:imagedata o:title=""/>
          <o:lock v:ext="edit"/>
          <v:textbox inset="0mm,0mm,0mm,0mm">
            <w:txbxContent>
              <w:p>
                <w:pPr>
                  <w:spacing w:before="0" w:line="251" w:lineRule="exact"/>
                  <w:ind w:right="0"/>
                  <w:jc w:val="left"/>
                  <w:rPr>
                    <w:sz w:val="21"/>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p>
    <w:pPr>
      <w:pStyle w:val="4"/>
      <w:spacing w:line="14" w:lineRule="auto"/>
      <w:rPr>
        <w:sz w:val="20"/>
      </w:rPr>
    </w:pPr>
    <w:r>
      <w:pict>
        <v:shape id="_x0000_s2053" o:spid="_x0000_s2053" o:spt="202" type="#_x0000_t202" style="position:absolute;left:0pt;margin-left:496.1pt;margin-top:790.55pt;height:12pt;width:29pt;mso-position-horizontal-relative:page;mso-position-vertical-relative:page;z-index:-260279296;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hint="default" w:ascii="Times New Roman" w:eastAsia="新宋体"/>
                    <w:b/>
                    <w:sz w:val="18"/>
                    <w:lang w:val="en-US" w:eastAsia="zh-CN"/>
                  </w:rPr>
                </w:pPr>
                <w:r>
                  <w:fldChar w:fldCharType="begin"/>
                </w:r>
                <w:r>
                  <w:rPr>
                    <w:rFonts w:ascii="Times New Roman"/>
                    <w:b/>
                    <w:sz w:val="18"/>
                  </w:rPr>
                  <w:instrText xml:space="preserve"> PAGE </w:instrText>
                </w:r>
                <w:r>
                  <w:fldChar w:fldCharType="separate"/>
                </w:r>
                <w:r>
                  <w:t>10</w:t>
                </w:r>
                <w:r>
                  <w:fldChar w:fldCharType="end"/>
                </w:r>
                <w:r>
                  <w:rPr>
                    <w:rFonts w:ascii="Times New Roman"/>
                    <w:b/>
                    <w:sz w:val="18"/>
                  </w:rPr>
                  <w:t xml:space="preserve"> </w:t>
                </w:r>
                <w:r>
                  <w:rPr>
                    <w:rFonts w:ascii="Times New Roman"/>
                    <w:sz w:val="18"/>
                  </w:rPr>
                  <w:t xml:space="preserve">/ </w:t>
                </w:r>
                <w:r>
                  <w:rPr>
                    <w:rFonts w:hint="eastAsia" w:ascii="Times New Roman"/>
                    <w:sz w:val="18"/>
                    <w:lang w:val="en-US" w:eastAsia="zh-CN"/>
                  </w:rPr>
                  <w:t>32</w:t>
                </w:r>
              </w:p>
            </w:txbxContent>
          </v:textbox>
        </v:shape>
      </w:pict>
    </w:r>
  </w:p>
  <w:p>
    <w:pPr>
      <w:pStyle w:val="4"/>
      <w:spacing w:line="14" w:lineRule="auto"/>
      <w:rPr>
        <w:sz w:val="20"/>
      </w:rPr>
    </w:pPr>
    <w:r>
      <w:pict>
        <v:shape id="_x0000_s2054" o:spid="_x0000_s2054" o:spt="202" type="#_x0000_t202" style="position:absolute;left:0pt;margin-left:419.65pt;margin-top:791.45pt;height:12.6pt;width:73.8pt;mso-position-horizontal-relative:page;mso-position-vertical-relative:page;z-index:-260278272;mso-width-relative:page;mso-height-relative:page;" filled="f" stroked="f" coordsize="21600,21600">
          <v:path/>
          <v:fill on="f" focussize="0,0"/>
          <v:stroke on="f"/>
          <v:imagedata o:title=""/>
          <o:lock v:ext="edit" aspectratio="f"/>
          <v:textbox inset="0mm,0mm,0mm,0mm">
            <w:txbxContent>
              <w:p>
                <w:pPr>
                  <w:wordWrap/>
                  <w:spacing w:before="0" w:line="251" w:lineRule="exact"/>
                  <w:ind w:right="0"/>
                  <w:jc w:val="right"/>
                  <w:rPr>
                    <w:rFonts w:hint="default" w:eastAsia="新宋体"/>
                    <w:b/>
                    <w:bCs/>
                    <w:sz w:val="21"/>
                    <w:lang w:val="en-US" w:eastAsia="zh-CN"/>
                  </w:rPr>
                </w:pPr>
                <w:r>
                  <w:rPr>
                    <w:rFonts w:hint="eastAsia"/>
                    <w:b/>
                    <w:bCs/>
                    <w:sz w:val="21"/>
                    <w:lang w:val="en-US" w:eastAsia="zh-CN"/>
                  </w:rPr>
                  <w:t xml:space="preserve">氢能俱乐部  </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drawing>
        <wp:anchor distT="0" distB="0" distL="0" distR="0" simplePos="0" relativeHeight="243034112" behindDoc="1" locked="0" layoutInCell="1" allowOverlap="1">
          <wp:simplePos x="0" y="0"/>
          <wp:positionH relativeFrom="page">
            <wp:posOffset>627380</wp:posOffset>
          </wp:positionH>
          <wp:positionV relativeFrom="page">
            <wp:posOffset>256540</wp:posOffset>
          </wp:positionV>
          <wp:extent cx="1713865" cy="495935"/>
          <wp:effectExtent l="0" t="0" r="635" b="18415"/>
          <wp:wrapNone/>
          <wp:docPr id="3" name="image1.png" descr="C:\Users\11936\Desktop\logo.jp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C:\Users\11936\Desktop\logo.jpglogo"/>
                  <pic:cNvPicPr>
                    <a:picLocks noChangeAspect="1"/>
                  </pic:cNvPicPr>
                </pic:nvPicPr>
                <pic:blipFill>
                  <a:blip r:embed="rId1"/>
                  <a:srcRect/>
                  <a:stretch>
                    <a:fillRect/>
                  </a:stretch>
                </pic:blipFill>
                <pic:spPr>
                  <a:xfrm>
                    <a:off x="0" y="0"/>
                    <a:ext cx="1713865" cy="495935"/>
                  </a:xfrm>
                  <a:prstGeom prst="rect">
                    <a:avLst/>
                  </a:prstGeom>
                </pic:spPr>
              </pic:pic>
            </a:graphicData>
          </a:graphic>
        </wp:anchor>
      </w:drawing>
    </w:r>
  </w:p>
  <w:p>
    <w:pPr>
      <w:pStyle w:val="4"/>
      <w:spacing w:line="14" w:lineRule="auto"/>
      <w:rPr>
        <w:sz w:val="20"/>
      </w:rPr>
    </w:pPr>
    <w:r>
      <w:pict>
        <v:shape id="_x0000_s2052" o:spid="_x0000_s2052" o:spt="202" type="#_x0000_t202" style="position:absolute;left:0pt;margin-left:292.1pt;margin-top:43.5pt;height:14pt;width:248.6pt;mso-position-horizontal-relative:page;mso-position-vertical-relative:page;z-index:-260280320;mso-width-relative:page;mso-height-relative:page;" filled="f" stroked="f" coordsize="21600,21600">
          <v:path/>
          <v:fill on="f" focussize="0,0"/>
          <v:stroke on="f"/>
          <v:imagedata o:title=""/>
          <o:lock v:ext="edit" aspectratio="f"/>
          <v:textbox inset="0mm,0mm,0mm,0mm">
            <w:txbxContent>
              <w:p>
                <w:pPr>
                  <w:pStyle w:val="4"/>
                  <w:spacing w:line="280" w:lineRule="exact"/>
                  <w:ind w:left="20"/>
                  <w:rPr>
                    <w:rFonts w:hint="default"/>
                    <w:lang w:val="en-US"/>
                  </w:rPr>
                </w:pPr>
                <w:r>
                  <w:rPr>
                    <w:rFonts w:hint="eastAsia"/>
                    <w:lang w:val="en-US" w:eastAsia="zh-CN"/>
                  </w:rPr>
                  <w:t>更多氢能报告请关注“氢能俱乐部”公众号！</w:t>
                </w:r>
              </w:p>
            </w:txbxContent>
          </v:textbox>
        </v:shape>
      </w:pict>
    </w:r>
    <w:r>
      <w:pict>
        <v:line id="_x0000_s2051" o:spid="_x0000_s2051" o:spt="20" style="position:absolute;left:0pt;margin-left:49.55pt;margin-top:62.6pt;height:0pt;width:491.6pt;mso-position-horizontal-relative:page;mso-position-vertical-relative:page;z-index:-260281344;mso-width-relative:page;mso-height-relative:page;" stroked="t" coordsize="21600,21600">
          <v:path arrowok="t"/>
          <v:fill focussize="0,0"/>
          <v:stroke weight="2.16pt" color="#4F81BC"/>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12A0B6"/>
    <w:multiLevelType w:val="singleLevel"/>
    <w:tmpl w:val="CA12A0B6"/>
    <w:lvl w:ilvl="0" w:tentative="0">
      <w:start w:val="1"/>
      <w:numFmt w:val="decimal"/>
      <w:suff w:val="space"/>
      <w:lvlText w:val="%1."/>
      <w:lvlJc w:val="left"/>
    </w:lvl>
  </w:abstractNum>
  <w:abstractNum w:abstractNumId="1">
    <w:nsid w:val="FCB39461"/>
    <w:multiLevelType w:val="multilevel"/>
    <w:tmpl w:val="FCB39461"/>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88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1CA23C9B"/>
    <w:rsid w:val="23637807"/>
    <w:rsid w:val="25C652C3"/>
    <w:rsid w:val="28683508"/>
    <w:rsid w:val="2D8765D4"/>
    <w:rsid w:val="2E1A4EE7"/>
    <w:rsid w:val="31C07BD5"/>
    <w:rsid w:val="494443DC"/>
    <w:rsid w:val="4AC8646B"/>
    <w:rsid w:val="50C74E28"/>
    <w:rsid w:val="5289335C"/>
    <w:rsid w:val="587F2DD4"/>
    <w:rsid w:val="5F473BA7"/>
    <w:rsid w:val="6E5A1C9F"/>
    <w:rsid w:val="6F600EFA"/>
    <w:rsid w:val="7514087A"/>
    <w:rsid w:val="762220BD"/>
    <w:rsid w:val="7AD13502"/>
    <w:rsid w:val="7B7D371A"/>
    <w:rsid w:val="7B9F3E51"/>
    <w:rsid w:val="7C5D3E5E"/>
    <w:rsid w:val="7D635B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新宋体" w:hAnsi="新宋体" w:eastAsia="新宋体" w:cs="新宋体"/>
      <w:sz w:val="22"/>
      <w:szCs w:val="22"/>
      <w:lang w:val="zh-CN" w:eastAsia="zh-CN" w:bidi="zh-CN"/>
    </w:rPr>
  </w:style>
  <w:style w:type="paragraph" w:styleId="2">
    <w:name w:val="heading 1"/>
    <w:basedOn w:val="1"/>
    <w:next w:val="1"/>
    <w:qFormat/>
    <w:uiPriority w:val="1"/>
    <w:pPr>
      <w:ind w:left="1178"/>
      <w:outlineLvl w:val="1"/>
    </w:pPr>
    <w:rPr>
      <w:rFonts w:ascii="微软雅黑" w:hAnsi="微软雅黑" w:eastAsia="微软雅黑" w:cs="微软雅黑"/>
      <w:b/>
      <w:bCs/>
      <w:sz w:val="28"/>
      <w:szCs w:val="28"/>
      <w:lang w:val="zh-CN" w:eastAsia="zh-CN" w:bidi="zh-CN"/>
    </w:rPr>
  </w:style>
  <w:style w:type="paragraph" w:styleId="3">
    <w:name w:val="heading 2"/>
    <w:basedOn w:val="1"/>
    <w:next w:val="1"/>
    <w:qFormat/>
    <w:uiPriority w:val="1"/>
    <w:pPr>
      <w:ind w:left="4018"/>
      <w:outlineLvl w:val="2"/>
    </w:pPr>
    <w:rPr>
      <w:rFonts w:ascii="微软雅黑" w:hAnsi="微软雅黑" w:eastAsia="微软雅黑" w:cs="微软雅黑"/>
      <w:b/>
      <w:bCs/>
      <w:sz w:val="24"/>
      <w:szCs w:val="24"/>
      <w:lang w:val="zh-CN" w:eastAsia="zh-CN" w:bidi="zh-CN"/>
    </w:rPr>
  </w:style>
  <w:style w:type="character" w:default="1" w:styleId="11">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新宋体" w:hAnsi="新宋体" w:eastAsia="新宋体" w:cs="新宋体"/>
      <w:sz w:val="24"/>
      <w:szCs w:val="24"/>
      <w:lang w:val="zh-CN" w:eastAsia="zh-CN" w:bidi="zh-CN"/>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1"/>
    <w:pPr>
      <w:spacing w:before="84"/>
      <w:ind w:left="1140" w:hanging="241"/>
    </w:pPr>
    <w:rPr>
      <w:rFonts w:ascii="微软雅黑" w:hAnsi="微软雅黑" w:eastAsia="微软雅黑" w:cs="微软雅黑"/>
      <w:b/>
      <w:bCs/>
      <w:sz w:val="24"/>
      <w:szCs w:val="24"/>
      <w:lang w:val="zh-CN" w:eastAsia="zh-CN" w:bidi="zh-CN"/>
    </w:rPr>
  </w:style>
  <w:style w:type="paragraph" w:styleId="7">
    <w:name w:val="toc 2"/>
    <w:basedOn w:val="1"/>
    <w:next w:val="1"/>
    <w:qFormat/>
    <w:uiPriority w:val="1"/>
    <w:pPr>
      <w:spacing w:before="161"/>
      <w:ind w:left="1740" w:hanging="421"/>
    </w:pPr>
    <w:rPr>
      <w:rFonts w:ascii="新宋体" w:hAnsi="新宋体" w:eastAsia="新宋体" w:cs="新宋体"/>
      <w:sz w:val="24"/>
      <w:szCs w:val="24"/>
      <w:lang w:val="zh-CN" w:eastAsia="zh-CN" w:bidi="zh-CN"/>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740" w:hanging="421"/>
    </w:pPr>
    <w:rPr>
      <w:rFonts w:ascii="新宋体" w:hAnsi="新宋体" w:eastAsia="新宋体" w:cs="新宋体"/>
      <w:lang w:val="zh-CN" w:eastAsia="zh-CN" w:bidi="zh-CN"/>
    </w:rPr>
  </w:style>
  <w:style w:type="paragraph" w:customStyle="1" w:styleId="16">
    <w:name w:val="Table Paragraph"/>
    <w:basedOn w:val="1"/>
    <w:qFormat/>
    <w:uiPriority w:val="1"/>
    <w:pPr>
      <w:jc w:val="center"/>
    </w:pPr>
    <w:rPr>
      <w:rFonts w:ascii="新宋体" w:hAnsi="新宋体" w:eastAsia="新宋体" w:cs="新宋体"/>
      <w:lang w:val="zh-CN" w:eastAsia="zh-CN" w:bidi="zh-CN"/>
    </w:rPr>
  </w:style>
  <w:style w:type="character" w:customStyle="1" w:styleId="17">
    <w:name w:val="font31"/>
    <w:basedOn w:val="11"/>
    <w:qFormat/>
    <w:uiPriority w:val="0"/>
    <w:rPr>
      <w:rFonts w:ascii="Arial" w:hAnsi="Arial" w:cs="Arial"/>
      <w:b/>
      <w:color w:val="FFFFFF"/>
      <w:sz w:val="22"/>
      <w:szCs w:val="22"/>
      <w:u w:val="none"/>
    </w:rPr>
  </w:style>
  <w:style w:type="character" w:customStyle="1" w:styleId="18">
    <w:name w:val="font41"/>
    <w:basedOn w:val="11"/>
    <w:qFormat/>
    <w:uiPriority w:val="0"/>
    <w:rPr>
      <w:rFonts w:hint="eastAsia" w:ascii="宋体" w:hAnsi="宋体" w:eastAsia="宋体" w:cs="宋体"/>
      <w:b/>
      <w:color w:val="FFFFFF"/>
      <w:sz w:val="22"/>
      <w:szCs w:val="22"/>
      <w:u w:val="none"/>
    </w:rPr>
  </w:style>
  <w:style w:type="character" w:customStyle="1" w:styleId="19">
    <w:name w:val="font11"/>
    <w:basedOn w:val="11"/>
    <w:qFormat/>
    <w:uiPriority w:val="0"/>
    <w:rPr>
      <w:rFonts w:hint="eastAsia" w:ascii="宋体" w:hAnsi="宋体" w:eastAsia="宋体" w:cs="宋体"/>
      <w:color w:val="152122"/>
      <w:sz w:val="22"/>
      <w:szCs w:val="22"/>
      <w:u w:val="none"/>
    </w:rPr>
  </w:style>
  <w:style w:type="character" w:customStyle="1" w:styleId="20">
    <w:name w:val="font21"/>
    <w:basedOn w:val="11"/>
    <w:uiPriority w:val="0"/>
    <w:rPr>
      <w:rFonts w:hint="default" w:ascii="Arial" w:hAnsi="Arial" w:cs="Arial"/>
      <w:color w:val="152122"/>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2051"/>
    <customShpInfo spid="_x0000_s2053"/>
    <customShpInfo spid="_x0000_s2054"/>
    <customShpInfo spid="_x0000_s1026"/>
    <customShpInfo spid="_x0000_s1028"/>
    <customShpInfo spid="_x0000_s1029"/>
    <customShpInfo spid="_x0000_s1027"/>
    <customShpInfo spid="_x0000_s3220"/>
    <customShpInfo spid="_x0000_s3223"/>
    <customShpInfo spid="_x0000_s3224"/>
    <customShpInfo spid="_x0000_s3267"/>
    <customShpInfo spid="_x0000_s1045"/>
    <customShpInfo spid="_x0000_s1044"/>
    <customShpInfo spid="_x0000_s3225"/>
    <customShpInfo spid="_x0000_s1284"/>
    <customShpInfo spid="_x0000_s1291"/>
    <customShpInfo spid="_x0000_s1290"/>
    <customShpInfo spid="_x0000_s3226"/>
    <customShpInfo spid="_x0000_s1352"/>
    <customShpInfo spid="_x0000_s1354"/>
    <customShpInfo spid="_x0000_s1353"/>
    <customShpInfo spid="_x0000_s3238"/>
    <customShpInfo spid="_x0000_s3237"/>
    <customShpInfo spid="_x0000_s3244"/>
    <customShpInfo spid="_x0000_s3243"/>
    <customShpInfo spid="_x0000_s3253"/>
    <customShpInfo spid="_x0000_s3262"/>
    <customShpInfo spid="_x0000_s3254"/>
    <customShpInfo spid="_x0000_s3255"/>
    <customShpInfo spid="_x0000_s3256"/>
    <customShpInfo spid="_x0000_s3263"/>
    <customShpInfo spid="_x0000_s3257"/>
    <customShpInfo spid="_x0000_s3258"/>
    <customShpInfo spid="_x0000_s3259"/>
    <customShpInfo spid="_x0000_s3260"/>
    <customShpInfo spid="_x0000_s3261"/>
    <customShpInfo spid="_x0000_s32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10472</Words>
  <Characters>14104</Characters>
  <TotalTime>167</TotalTime>
  <ScaleCrop>false</ScaleCrop>
  <LinksUpToDate>false</LinksUpToDate>
  <CharactersWithSpaces>14678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2020-06-29T15:55:00Z</dcterms:created>
  <dc:creator>11936</dc:creator>
  <cp:lastModifiedBy>林欢喜</cp:lastModifiedBy>
  <dcterms:modified xsi:type="dcterms:W3CDTF">2020-11-16T09:50:15Z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