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wp="http://schemas.openxmlformats.org/drawingml/2006/wordprocessingDrawing">
  <w:body>
    <w:p>
      <w:pPr>
        <w:pStyle w:val="Heading1"/>
        <w:spacing w:after="200"/>
      </w:pPr>
      <w:r>
        <w:t>Thyssen Steel - Strategic Report 2025</w:t>
      </w:r>
    </w:p>
    <w:p>
      <w:r>
        <w:rPr>
          <w:i/>
          <w:iCs/>
          <w:color w:val="555555"/>
        </w:rPr>
        <w:t>By: CFO Dr. Wagner</w:t>
      </w:r>
      <w:r>
        <w:t xml:space="preserve">  |  </w:t>
      </w:r>
      <w:r>
        <w:rPr>
          <w:i/>
          <w:iCs/>
          <w:color w:val="555555"/>
        </w:rPr>
        <w:t>Date: 2026-03-15</w:t>
      </w:r>
    </w:p>
    <w:p>
      <w:pPr>
        <w:pStyle w:val="Heading1"/>
      </w:pPr>
      <w:r>
        <w:t>Market Development</w:t>
      </w:r>
    </w:p>
    <w:p>
      <w:pPr>
        <w:spacing w:after="120"/>
      </w:pPr>
      <w:r>
        <w:t>The global steel market showed stable development in 2025. Thyssen Steel increased production to 8.4 million tons. Steel prices normalized to EUR 680/t. Automotive demand remained robust.</w:t>
      </w:r>
    </w:p>
    <w:p>
      <w:pPr>
        <w:pStyle w:val="Heading1"/>
      </w:pPr>
      <w:r>
        <w:t>Financial Results</w:t>
      </w:r>
    </w:p>
    <w:p>
      <w:pPr>
        <w:spacing w:after="120"/>
      </w:pPr>
      <w:r>
        <w:t>Revenue reached EUR 11.2 billion. EBITDA improved to EUR 1.68 billion. EBIT reached EUR 892 million. Net income was EUR 534 million. Free cash flow improved significantly to EUR 624 million.</w:t>
      </w:r>
    </w:p>
    <w:p>
      <w:pPr>
        <w:pStyle w:val="Heading1"/>
      </w:pPr>
      <w:r>
        <w:t>Capital Expenditure</w:t>
      </w:r>
    </w:p>
    <w:p>
      <w:pPr>
        <w:spacing w:after="120"/>
      </w:pPr>
      <w:r>
        <w:t>Investments totaled EUR 780 million. Key projects: Duisburg rolling mill modernization (EUR 320m), Bremen galvanizing line (EUR 180m), production digitalization (EUR 150m), Green Steel research (EUR 130m).</w:t>
      </w:r>
    </w:p>
    <w:sectPr>
      <w:headerReference w:type="default" r:id="rId1"/>
      <w:footerReference w:type="default" r:id="rId2"/>
      <w:pgSz w:w="12240" w:h="15840"/>
      <w:pgMar w:top="1440" w:right="1440" w:bottom="1440" w:left="1440" w:gutter="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w:p>
    <w:r>
      <w:t xml:space="preserve">Page </w:t>
    </w:r>
  </w:p>
</w:ftr>
</file>

<file path=word/header1.xml><?xml version="1.0" encoding="utf-8"?>
<w:hdr xmlns:w="http://schemas.openxmlformats.org/wordprocessingml/2006/main" xmlns:r="http://schemas.openxmlformats.org/officeDocument/2006/relationships" xmlns:wp="http://schemas.openxmlformats.org/drawingml/2006/wordprocessingDrawing">
  <w:p>
    <w:r>
      <w:t>Thyssen Steel - Strategic Report 2025</w:t>
    </w:r>
  </w:p>
</w:hdr>
</file>

<file path=word/numbering.xml><?xml version="1.0" encoding="utf-8"?>
<w:numbering xmlns:w="http://schemas.openxmlformats.org/wordprocessingml/2006/main"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AAAAAAA"/>
    <w:multiLevelType w:val="hybridMultilevel"/>
    <w:tmpl w:val="AAAAAAAA"/>
    <w:lvl w:ilvl="0">
      <w:start w:val="1"/>
      <w:numFmt w:val="bullet"/>
      <w:lvlText w:val="▪"/>
      <w:lvlJc w:val="left"/>
      <w:pPr>
        <w:ind w:left="720" w:hanging="360"/>
      </w:pPr>
      <w:rPr>
        <w:rFonts w:ascii="Symbol" w:hAnsi="Symbol" w:hint="default"/>
        <w:sz w:val="24"/>
      </w:rPr>
    </w:lvl>
    <w:lvl w:ilvl="1">
      <w:start w:val="1"/>
      <w:numFmt w:val="bullet"/>
      <w:lvlText w:val="●"/>
      <w:lvlJc w:val="left"/>
      <w:pPr>
        <w:ind w:left="1440" w:hanging="360"/>
      </w:pPr>
      <w:rPr>
        <w:rFonts w:ascii="Courier New" w:hAnsi="Courier New" w:hint="default"/>
        <w:sz w:val="24"/>
      </w:rPr>
    </w:lvl>
  </w:abstractNum>
  <w:abstractNum w:abstractNumId="1">
    <w:nsid w:val="BBBBBBBB"/>
    <w:multiLevelType w:val="hybridMultilevel"/>
    <w:tmpl w:val="BBBBBBBB"/>
    <w:lvl w:ilvl="0">
      <w:start w:val="1"/>
      <w:numFmt w:val="decimal"/>
      <w:lvlText w:val="%1."/>
      <w:lvlJc w:val="left"/>
      <w:pPr>
        <w:ind w:left="360" w:hanging="360"/>
      </w:pPr>
      <w:rPr>
        <w:sz w:val="24"/>
      </w:rPr>
    </w:lvl>
    <w:lvl w:ilvl="1">
      <w:start w:val="1"/>
      <w:numFmt w:val="decimal"/>
      <w:lvlText w:val="%1.%2."/>
      <w:lvlJc w:val="left"/>
      <w:pPr>
        <w:ind w:left="792" w:hanging="432"/>
      </w:pPr>
      <w:rPr>
        <w:sz w:val="24"/>
      </w:rPr>
    </w:lvl>
    <w:lvl w:ilvl="2">
      <w:start w:val="1"/>
      <w:numFmt w:val="decimal"/>
      <w:lvlText w:val="%1.%2.%3."/>
      <w:lvlJc w:val="left"/>
      <w:pPr>
        <w:ind w:left="1224" w:hanging="504"/>
      </w:pPr>
      <w:rPr>
        <w:sz w:val="24"/>
      </w:rPr>
    </w:lvl>
  </w:abstractNum>
  <w:abstractNum w:abstractNumId="2">
    <w:nsid w:val="CCCCCCCC"/>
    <w:multiLevelType w:val="hybridMultilevel"/>
    <w:tmpl w:val="CCCCCCCC"/>
    <w:lvl w:ilvl="0">
      <w:start w:val="1"/>
      <w:numFmt w:val="decimal"/>
      <w:lvlText w:val="%1)"/>
      <w:lvlJc w:val="left"/>
      <w:pPr>
        <w:ind w:left="360" w:hanging="360"/>
      </w:pPr>
      <w:rPr>
        <w:sz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  <Relationship Id="rId0" Type="http://schemas.openxmlformats.org/officeDocument/2006/relationships/styles" Target="styles.xml"/>
<Relationship Id="rId4" Type="http://schemas.openxmlformats.org/officeDocument/2006/relationships/theme" Target="theme/theme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footer" Target="footer1.xml"/><Relationship Id="rId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n ang="5400000" scaled="0"/>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n ang="5400000" scaled="0"/>
        </a:gradFill>
      </a:fillStyleLst>
      <a:lnStyleLst>
        <a:ln w="9525" cap="flat" cmpd="sng" algn="ctr">
          <a:solidFill>
            <a:schemeClr val="phClr">
              <a:shade val="95000"/>
              <a:satMod val="10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100000">
              <a:schemeClr val="phClr">
                <a:tint val="45000"/>
                <a:satMod val="350000"/>
              </a:schemeClr>
            </a:gs>
          </a:gsLst>
          <a:ln ang="5400000" scaled="0"/>
        </a:gradFill>
      </a:bgFillStyleLst>
    </a:fmtScheme>
  </a:themeElements>
</a:theme>
</file>

<file path=docProps/app.xml><?xml version="1.0" encoding="utf-8"?>
<Properties xmlns="http://schemas.openxmlformats.org/officeDocument/2006/extended-properties" xmlns:vt="http://schemas.openxmlformats.org/officeDocument/2006/docPropsVTypes">
  <Application>docworks-mcp</Application>
  <DocSecurity>0</DocSecurity>
  <Lines>1</Lines>
  <Paragraphs>1</Paragraphs>
  <ScaleCrop>false</ScaleCrop>
  <HeadingPairs/>
  <TitlesOfParts/>
  <Company>docworks-mcp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Thyssen Steel - Strategic Report 2025</dc:title>
  <dc:creator>CFO Dr. Wagner</dc:creator>
</cp:coreProperties>
</file>