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>
  <w:body>
    <w:p>
      <w:pPr>
        <w:pStyle w:val="Heading1"/>
        <w:spacing w:after="200"/>
      </w:pPr>
      <w:r>
        <w:t>Meyer Automotive - Cost Benchmark Analysis</w:t>
      </w:r>
    </w:p>
    <w:p>
      <w:r>
        <w:rPr>
          <w:i/>
          <w:iCs/>
          <w:color w:val="555555"/>
        </w:rPr>
        <w:t>By: Controlling</w:t>
      </w:r>
      <w:r>
        <w:t xml:space="preserve">  |  </w:t>
      </w:r>
      <w:r>
        <w:rPr>
          <w:i/>
          <w:iCs/>
          <w:color w:val="555555"/>
        </w:rPr>
        <w:t>Date: 2026-03-15</w:t>
      </w:r>
    </w:p>
    <w:p>
      <w:pPr>
        <w:pStyle w:val="Heading1"/>
      </w:pPr>
      <w:r>
        <w:t>Executive Summary</w:t>
      </w:r>
    </w:p>
    <w:p>
      <w:pPr>
        <w:spacing w:after="120"/>
      </w:pPr>
      <w:r>
        <w:t>This cost benchmark compares Meyer Automotive Group with competitors. Total costs in 2025 were EUR 10,850 million on revenue of EUR 12,400 million. Cost ratio: 87.5%.</w:t>
      </w:r>
    </w:p>
    <w:p>
      <w:pPr>
        <w:pStyle w:val="Heading1"/>
      </w:pPr>
      <w:r>
        <w:t>Production Costs</w:t>
      </w:r>
    </w:p>
    <w:p>
      <w:pPr>
        <w:spacing w:after="120"/>
      </w:pPr>
      <w:r>
        <w:t>Production costs of EUR 8,924 million represent the largest block: materials 62.5%, personnel 31.9%, depreciation 5.6%. Savings potential in material costs through parts standardization.</w:t>
      </w:r>
    </w:p>
    <w:p>
      <w:pPr>
        <w:pStyle w:val="Heading1"/>
      </w:pPr>
      <w:r>
        <w:t>Distribution Costs</w:t>
      </w:r>
    </w:p>
    <w:p>
      <w:pPr>
        <w:spacing w:after="120"/>
      </w:pPr>
      <w:r>
        <w:t>Distribution costs were EUR 520 million (4.2% of revenue). Personnel costs rose 11.5% due to Asia sales organization build-up. Warranty costs reduced 14% to EUR 90 million through quality improvements.</w:t>
      </w:r>
    </w:p>
    <w:sectPr>
      <w:headerReference w:type="default" r:id="rId1"/>
      <w:footerReference w:type="default" r:id="rId2"/>
      <w:pgSz w:w="12240" w:h="15840"/>
      <w:pgMar w:top="1440" w:right="1440" w:bottom="1440" w:left="1440" w:gutter="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Page 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t>Meyer Automotive - Cost Benchmark Analysis</w:t>
    </w:r>
  </w:p>
</w:hdr>
</file>

<file path=word/numbering.xml><?xml version="1.0" encoding="utf-8"?>
<w:numbering xmlns:w="http://schemas.openxmlformats.org/wordprocessingml/2006/main"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AAAAAA"/>
    <w:multiLevelType w:val="hybridMultilevel"/>
    <w:tmpl w:val="AAAAAAAA"/>
    <w:lvl w:ilvl="0">
      <w:start w:val="1"/>
      <w:numFmt w:val="bullet"/>
      <w:lvlText w:val="▪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hAnsi="Courier New" w:hint="default"/>
        <w:sz w:val="24"/>
      </w:rPr>
    </w:lvl>
  </w:abstractNum>
  <w:abstractNum w:abstractNumId="1">
    <w:nsid w:val="BBBBBBBB"/>
    <w:multiLevelType w:val="hybridMultilevel"/>
    <w:tmpl w:val="BBBBBBBB"/>
    <w:lvl w:ilvl="0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</w:rPr>
    </w:lvl>
  </w:abstractNum>
  <w:abstractNum w:abstractNumId="2">
    <w:nsid w:val="CCCCCCCC"/>
    <w:multiLevelType w:val="hybridMultilevel"/>
    <w:tmpl w:val="CCCCCCCC"/>
    <w:lvl w:ilvl="0">
      <w:start w:val="1"/>
      <w:numFmt w:val="decimal"/>
      <w:lvlText w:val="%1)"/>
      <w:lvlJc w:val="left"/>
      <w:pPr>
        <w:ind w:left="360" w:hanging="360"/>
      </w:pPr>
      <w:rPr>
        <w:sz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  <Relationship Id="rId0" Type="http://schemas.openxmlformats.org/officeDocument/2006/relationships/styles" Target="styles.xml"/>
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n ang="5400000" scaled="0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100000">
              <a:schemeClr val="phClr">
                <a:tint val="45000"/>
                <a:satMod val="350000"/>
              </a:schemeClr>
            </a:gs>
          </a:gsLst>
          <a:l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docworks-mcp</Application>
  <DocSecurity>0</DocSecurity>
  <Lines>1</Lines>
  <Paragraphs>1</Paragraphs>
  <ScaleCrop>false</ScaleCrop>
  <HeadingPairs/>
  <TitlesOfParts/>
  <Company>docworks-mcp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Meyer Automotive - Cost Benchmark Analysis</dc:title>
  <dc:creator>Controlling</dc:creator>
</cp:coreProperties>
</file>