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>
  <w:body>
    <w:p>
      <w:pPr>
        <w:pStyle w:val="Heading1"/>
        <w:spacing w:after="200"/>
      </w:pPr>
      <w:r>
        <w:t>Beck Energy - Sustainability Report 2025</w:t>
      </w:r>
    </w:p>
    <w:p>
      <w:r>
        <w:rPr>
          <w:i/>
          <w:iCs/>
          <w:color w:val="555555"/>
        </w:rPr>
        <w:t>By: CSR Board</w:t>
      </w:r>
      <w:r>
        <w:t xml:space="preserve">  |  </w:t>
      </w:r>
      <w:r>
        <w:rPr>
          <w:i/>
          <w:iCs/>
          <w:color w:val="555555"/>
        </w:rPr>
        <w:t>Date: 2026-03-15</w:t>
      </w:r>
    </w:p>
    <w:p>
      <w:pPr>
        <w:pStyle w:val="Heading1"/>
      </w:pPr>
      <w:r>
        <w:t>CO2 Balance</w:t>
      </w:r>
    </w:p>
    <w:p>
      <w:pPr>
        <w:spacing w:after="120"/>
      </w:pPr>
      <w:r>
        <w:t>CO2 emissions reduced 18% to 2.4 million tons. Specific emissions fell to 342 g CO2/kWh. Renewable energy share increased from 32% to 45%. Target for 2030: below 200 g CO2/kWh.</w:t>
      </w:r>
    </w:p>
    <w:p>
      <w:pPr>
        <w:pStyle w:val="Heading1"/>
      </w:pPr>
      <w:r>
        <w:t>Social Responsibility</w:t>
      </w:r>
    </w:p>
    <w:p>
      <w:pPr>
        <w:spacing w:after="120"/>
      </w:pPr>
      <w:r>
        <w:t>Employee satisfaction rose to 87%. Accident rate fell to 2.1 per 1,000 employees. Female leadership: 34%. Investment in training: EUR 2.8 million.</w:t>
      </w:r>
    </w:p>
    <w:p>
      <w:pPr>
        <w:pStyle w:val="Heading1"/>
      </w:pPr>
      <w:r>
        <w:t>Governance</w:t>
      </w:r>
    </w:p>
    <w:p>
      <w:pPr>
        <w:spacing w:after="120"/>
      </w:pPr>
      <w:r>
        <w:t>The Sustainability Council met four times. No material compliance violations found. Executive compensation is 20% linked to sustainability targets.</w:t>
      </w:r>
    </w:p>
    <w:sectPr>
      <w:headerReference w:type="default" r:id="rId1"/>
      <w:footerReference w:type="default" r:id="rId2"/>
      <w:pgSz w:w="12240" w:h="15840"/>
      <w:pgMar w:top="1440" w:right="1440" w:bottom="1440" w:left="1440" w:gutter="0" w:header="720" w:footer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r>
      <w:t xml:space="preserve">Page </w:t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r>
      <w:t>Beck Energy - Sustainability Report 2025</w:t>
    </w:r>
  </w:p>
</w:hdr>
</file>

<file path=word/numbering.xml><?xml version="1.0" encoding="utf-8"?>
<w:numbering xmlns:w="http://schemas.openxmlformats.org/wordprocessingml/2006/main"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AAAAAAA"/>
    <w:multiLevelType w:val="hybridMultilevel"/>
    <w:tmpl w:val="AAAAAAAA"/>
    <w:lvl w:ilvl="0">
      <w:start w:val="1"/>
      <w:numFmt w:val="bullet"/>
      <w:lvlText w:val="▪"/>
      <w:lvlJc w:val="left"/>
      <w:pPr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Courier New" w:hAnsi="Courier New" w:hint="default"/>
        <w:sz w:val="24"/>
      </w:rPr>
    </w:lvl>
  </w:abstractNum>
  <w:abstractNum w:abstractNumId="1">
    <w:nsid w:val="BBBBBBBB"/>
    <w:multiLevelType w:val="hybridMultilevel"/>
    <w:tmpl w:val="BBBBBBBB"/>
    <w:lvl w:ilvl="0">
      <w:start w:val="1"/>
      <w:numFmt w:val="decimal"/>
      <w:lvlText w:val="%1."/>
      <w:lvlJc w:val="left"/>
      <w:pPr>
        <w:ind w:left="360" w:hanging="360"/>
      </w:pPr>
      <w:rPr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4"/>
      </w:rPr>
    </w:lvl>
  </w:abstractNum>
  <w:abstractNum w:abstractNumId="2">
    <w:nsid w:val="CCCCCCCC"/>
    <w:multiLevelType w:val="hybridMultilevel"/>
    <w:tmpl w:val="CCCCCCCC"/>
    <w:lvl w:ilvl="0">
      <w:start w:val="1"/>
      <w:numFmt w:val="decimal"/>
      <w:lvlText w:val="%1)"/>
      <w:lvlJc w:val="left"/>
      <w:pPr>
        <w:ind w:left="360" w:hanging="360"/>
      </w:pPr>
      <w:rPr>
        <w:sz w:val="24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
<Relationships xmlns="http://schemas.openxmlformats.org/package/2006/relationships">  <Relationship Id="rId0" Type="http://schemas.openxmlformats.org/officeDocument/2006/relationships/styles" Target="styles.xml"/>
<Relationship Id="rId4" Type="http://schemas.openxmlformats.org/officeDocument/2006/relationships/theme" Target="theme/theme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n ang="5400000" scaled="0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n ang="5400000" scaled="0"/>
        </a:gradFill>
      </a:fillStyleLst>
      <a:lnStyleLst>
        <a:ln w="9525" cap="flat" cmpd="sng" algn="ctr">
          <a:solidFill>
            <a:schemeClr val="phClr">
              <a:shade val="95000"/>
              <a:satMod val="10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100000">
              <a:schemeClr val="phClr">
                <a:tint val="45000"/>
                <a:satMod val="350000"/>
              </a:schemeClr>
            </a:gs>
          </a:gsLst>
          <a:ln ang="5400000" scaled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docworks-mcp</Application>
  <DocSecurity>0</DocSecurity>
  <Lines>1</Lines>
  <Paragraphs>1</Paragraphs>
  <ScaleCrop>false</ScaleCrop>
  <HeadingPairs/>
  <TitlesOfParts/>
  <Company>docworks-mcp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Beck Energy - Sustainability Report 2025</dc:title>
  <dc:creator>CSR Board</dc:creator>
</cp:coreProperties>
</file>