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f1f1f"/>
        </w:rPr>
      </w:pPr>
      <w:r w:rsidDel="00000000" w:rsidR="00000000" w:rsidRPr="00000000">
        <w:rPr>
          <w:rFonts w:ascii="Google Sans" w:cs="Google Sans" w:eastAsia="Google Sans" w:hAnsi="Google Sans"/>
          <w:color w:val="1f1f1f"/>
          <w:rtl w:val="0"/>
        </w:rPr>
        <w:t xml:space="preserve">Site </w:t>
      </w:r>
      <w:r w:rsidDel="00000000" w:rsidR="00000000" w:rsidRPr="00000000">
        <w:rPr>
          <w:rFonts w:ascii="Google Sans Text" w:cs="Google Sans Text" w:eastAsia="Google Sans Text" w:hAnsi="Google Sans Text"/>
          <w:b w:val="1"/>
          <w:bCs w:val="1"/>
          <w:color w:val="1f1f1f"/>
          <w:rtl w:val="0"/>
        </w:rPr>
        <w:t xml:space="preserve">Title:</w:t>
      </w:r>
      <w:r w:rsidDel="00000000" w:rsidR="00000000" w:rsidRPr="00000000">
        <w:rPr>
          <w:rFonts w:ascii="Google Sans Text" w:cs="Google Sans Text" w:eastAsia="Google Sans Text" w:hAnsi="Google Sans Text"/>
          <w:color w:val="1f1f1f"/>
          <w:rtl w:val="0"/>
        </w:rPr>
        <w:t xml:space="preserve"> The AI Energy Stack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Subtitle:</w:t>
      </w:r>
      <w:r w:rsidDel="00000000" w:rsidR="00000000" w:rsidRPr="00000000">
        <w:rPr>
          <w:rFonts w:ascii="Google Sans Text" w:cs="Google Sans Text" w:eastAsia="Google Sans Text" w:hAnsi="Google Sans Text"/>
          <w:color w:val="1f1f1f"/>
          <w:rtl w:val="0"/>
        </w:rPr>
        <w:t xml:space="preserve"> The Physics of Intelligence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3-Line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bottleneck to intelligence today is power. </w:t>
      </w:r>
      <w:r w:rsidDel="00000000" w:rsidR="00000000" w:rsidRPr="00000000">
        <w:rPr>
          <w:rFonts w:ascii="Google Sans Text" w:cs="Google Sans Text" w:eastAsia="Google Sans Text" w:hAnsi="Google Sans Text"/>
          <w:color w:val="1f1f1f"/>
          <w:rtl w:val="0"/>
        </w:rPr>
        <w:t xml:space="preserve">We are visualizing the $6.7 trillion machine required to turn electricity into thought, mapping the bottlenecks from the nanometer-scale chip to the gigawatt-scale nuclear reactor. This is the physical reality behind the digital revolution.</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About page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Header:</w:t>
      </w:r>
      <w:r w:rsidDel="00000000" w:rsidR="00000000" w:rsidRPr="00000000">
        <w:rPr>
          <w:rFonts w:ascii="Google Sans Text" w:cs="Google Sans Text" w:eastAsia="Google Sans Text" w:hAnsi="Google Sans Text"/>
          <w:color w:val="1f1f1f"/>
          <w:rtl w:val="0"/>
        </w:rPr>
        <w:t xml:space="preserve"> Mapping the Power Usage of Artificial Intelligence</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global technology sector is navigating a fundamental regime change. For the past twenty years, the digital economy was defined by software efficiency and the virtualization of resources. As of 2026, the paradigm has inverted. The rise of Generative AI and Large Language Models (LLMs) has transitioned the industry into a phase of massive physical capital intensity. The primary constraints are no longer code or silicon availability. They are now thermodynamics, electron delivery, and construction supply chains.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project maps the AI Energy Stack, which is the vertically integrated value chain required to power the next generation of intelligence. We estimate that global data center capital expenditures (CAPEX) will cumulatively reach </w:t>
      </w:r>
      <w:r w:rsidDel="00000000" w:rsidR="00000000" w:rsidRPr="00000000">
        <w:rPr>
          <w:rFonts w:ascii="Google Sans Text" w:cs="Google Sans Text" w:eastAsia="Google Sans Text" w:hAnsi="Google Sans Text"/>
          <w:b w:val="1"/>
          <w:bCs w:val="1"/>
          <w:color w:val="1f1f1f"/>
          <w:rtl w:val="0"/>
        </w:rPr>
        <w:t xml:space="preserve">$6.7 trillion by 2030</w:t>
      </w:r>
      <w:r w:rsidDel="00000000" w:rsidR="00000000" w:rsidRPr="00000000">
        <w:rPr>
          <w:rFonts w:ascii="Google Sans Text" w:cs="Google Sans Text" w:eastAsia="Google Sans Text" w:hAnsi="Google Sans Text"/>
          <w:color w:val="1f1f1f"/>
          <w:rtl w:val="0"/>
        </w:rPr>
        <w:t xml:space="preserve">. This investment wave is driven by a singular reality. The computational density required for frontier model training and inference has outpaced the existing capabilities of the global power grid and traditional air-cooled facility designs.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From the microscopic architecture of the transistor to the macroscopic regulation of the electrical grid, this visualization tracks where the capital is flowing, where the bottlenecks are forming, and why the technology sector is rapidly becoming the world's largest financier of nuclear energy.</w:t>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Layer 1: The Model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Subtitle:</w:t>
      </w:r>
      <w:r w:rsidDel="00000000" w:rsidR="00000000" w:rsidRPr="00000000">
        <w:rPr>
          <w:rFonts w:ascii="Google Sans Text" w:cs="Google Sans Text" w:eastAsia="Google Sans Text" w:hAnsi="Google Sans Text"/>
          <w:color w:val="1f1f1f"/>
          <w:rtl w:val="0"/>
        </w:rPr>
        <w:t xml:space="preserve"> Inference &amp; Training (Software Layer)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Overview: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Think of this layer as the brain of the system. It represents the software models that demand energy to learn and to answer questions. As these models get smarter, they require exponentially more power to operate.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Jevons Paradox of Intelligence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economic narrative of AI has shifted from training to inference. Training is the massive one-time energy expenditure required to create a foundation model. Inference is the continuous process of querying that model. While training a frontier model like GPT-4 requires a massive energy spike, inference represents a permanent and scaling baseload demand.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Recent analysis indicates that inference now accounts for more than </w:t>
      </w:r>
      <w:r w:rsidDel="00000000" w:rsidR="00000000" w:rsidRPr="00000000">
        <w:rPr>
          <w:rFonts w:ascii="Google Sans Text" w:cs="Google Sans Text" w:eastAsia="Google Sans Text" w:hAnsi="Google Sans Text"/>
          <w:b w:val="1"/>
          <w:bCs w:val="1"/>
          <w:color w:val="1f1f1f"/>
          <w:rtl w:val="0"/>
        </w:rPr>
        <w:t xml:space="preserve">50% of the total lifecycle carbon emissions</w:t>
      </w:r>
      <w:r w:rsidDel="00000000" w:rsidR="00000000" w:rsidRPr="00000000">
        <w:rPr>
          <w:rFonts w:ascii="Google Sans Text" w:cs="Google Sans Text" w:eastAsia="Google Sans Text" w:hAnsi="Google Sans Text"/>
          <w:color w:val="1f1f1f"/>
          <w:rtl w:val="0"/>
        </w:rPr>
        <w:t xml:space="preserve"> of a Large Language Model.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Hardware optimizations have reduced the cost of generating a single token of intelligence. However, the total volume of tokens generated has exploded. This is a classic manifestation of Jevons Paradox. In 2025 alone, while inference costs dropped roughly 280-fold due to quantization and better chips, usage volume grew 31x. This drove net energy consumption significantly higher.</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 Rise of Reasoning Models</w:t>
      </w:r>
      <w:r w:rsidDel="00000000" w:rsidR="00000000" w:rsidRPr="00000000">
        <w:rPr>
          <w:rFonts w:ascii="Google Sans Text" w:cs="Google Sans Text" w:eastAsia="Google Sans Text" w:hAnsi="Google Sans Text"/>
          <w:color w:val="1f1f1f"/>
          <w:rtl w:val="0"/>
        </w:rPr>
        <w:t xml:space="preserve"> A critical driver of this energy intensity is the architectural shift toward reasoning models. Unlike standard LLMs that predict the next word immediately, reasoning models think for seconds or minutes before outputting a response. They run thousands of internal simulation steps to verify their answers. A single complex query can now consume </w:t>
      </w:r>
      <w:r w:rsidDel="00000000" w:rsidR="00000000" w:rsidRPr="00000000">
        <w:rPr>
          <w:rFonts w:ascii="Google Sans Text" w:cs="Google Sans Text" w:eastAsia="Google Sans Text" w:hAnsi="Google Sans Text"/>
          <w:b w:val="1"/>
          <w:bCs w:val="1"/>
          <w:color w:val="1f1f1f"/>
          <w:rtl w:val="0"/>
        </w:rPr>
        <w:t xml:space="preserve">0.3 Wh to 1 Wh</w:t>
      </w:r>
      <w:r w:rsidDel="00000000" w:rsidR="00000000" w:rsidRPr="00000000">
        <w:rPr>
          <w:rFonts w:ascii="Google Sans Text" w:cs="Google Sans Text" w:eastAsia="Google Sans Text" w:hAnsi="Google Sans Text"/>
          <w:color w:val="1f1f1f"/>
          <w:rtl w:val="0"/>
        </w:rPr>
        <w:t xml:space="preserve"> of energy. When scaled to billions of daily queries, the aggregate energy load moves from the scale of a data center to the scale of a national power grid.</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Energy Profile of AI Workloads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Training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Inference Phase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Energy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Spiky, massive bursts (Months)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Continuous, baseload (Years)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Share of Lifecycle CO2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~60% and growing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Economic Driver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CAPEX (One-time asset creation)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OPEX (Cost of Goods Sold)</w:t>
            </w:r>
          </w:p>
        </w:tc>
      </w:tr>
    </w:tbl>
    <w:p w:rsidR="00000000" w:rsidDel="00000000" w:rsidP="00000000" w:rsidRDefault="00000000" w:rsidRPr="00000000" w14:paraId="00000020">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Layer 2: The Chip</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Subtitle:</w:t>
      </w:r>
      <w:r w:rsidDel="00000000" w:rsidR="00000000" w:rsidRPr="00000000">
        <w:rPr>
          <w:rFonts w:ascii="Google Sans Text" w:cs="Google Sans Text" w:eastAsia="Google Sans Text" w:hAnsi="Google Sans Text"/>
          <w:color w:val="1f1f1f"/>
          <w:rtl w:val="0"/>
        </w:rPr>
        <w:t xml:space="preserve"> The Thermal Wall (Silicon Layer)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Simplified Overview:</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layer represents the engine of the AI stack. The silicon chips that do the math have become so dense and powerful that they now generate heat levels that traditional fans and air cooling can no longer manage.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Thermodynamics at the Nanometer Scale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over a decade, the Thermal Design Power (TDP) of server processors hovered in the manageable range of 200W to 400W. The generative AI boom has shattered this ceiling. To sustain Moore's Law, chip designers are no longer just shrinking transistors. They are packaging multiple massive dies together. This creates a density of heat that defies traditional physics.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industry has crossed the </w:t>
      </w:r>
      <w:r w:rsidDel="00000000" w:rsidR="00000000" w:rsidRPr="00000000">
        <w:rPr>
          <w:rFonts w:ascii="Google Sans Text" w:cs="Google Sans Text" w:eastAsia="Google Sans Text" w:hAnsi="Google Sans Text"/>
          <w:b w:val="1"/>
          <w:bCs w:val="1"/>
          <w:color w:val="1f1f1f"/>
          <w:rtl w:val="0"/>
        </w:rPr>
        <w:t xml:space="preserve">1,000 Watt barrier</w:t>
      </w:r>
      <w:r w:rsidDel="00000000" w:rsidR="00000000" w:rsidRPr="00000000">
        <w:rPr>
          <w:rFonts w:ascii="Google Sans Text" w:cs="Google Sans Text" w:eastAsia="Google Sans Text" w:hAnsi="Google Sans Text"/>
          <w:color w:val="1f1f1f"/>
          <w:rtl w:val="0"/>
        </w:rPr>
        <w:t xml:space="preserve">. The Nvidia Blackwell B200 draws between 1,000W and 1,200W per package. AMD’s competing MI355X accelerator pushes this even further to </w:t>
      </w:r>
      <w:r w:rsidDel="00000000" w:rsidR="00000000" w:rsidRPr="00000000">
        <w:rPr>
          <w:rFonts w:ascii="Google Sans Text" w:cs="Google Sans Text" w:eastAsia="Google Sans Text" w:hAnsi="Google Sans Text"/>
          <w:b w:val="1"/>
          <w:bCs w:val="1"/>
          <w:color w:val="1f1f1f"/>
          <w:rtl w:val="0"/>
        </w:rPr>
        <w:t xml:space="preserve">1,400W</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Physical Limit of Air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 these power densities, the heat flux exceeds the capacity of air to effectively remove heat. Air cooling relies on fans blowing ambient air over heat sinks. To cool a 1,200W chip, the required airflow would generate deafening acoustic levels and parasitic fan power consumption that renders the system economically unviable. This marks the end of the Air Cooled Era. The industry is forced to transition to liquid cooling not as an option but as a thermodynamic necessity.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The Power Density Escalation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Accelerator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Release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Power Draw (TDP)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Cooling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Nvidia H100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700W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Air / Liquid Hybrid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Nvidia B200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1,000W - 1,200W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Liquid Mandatory (Dense)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AMD MI355X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1,400W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Liquid Mandatory</w:t>
            </w:r>
          </w:p>
        </w:tc>
      </w:tr>
    </w:tbl>
    <w:p w:rsidR="00000000" w:rsidDel="00000000" w:rsidP="00000000" w:rsidRDefault="00000000" w:rsidRPr="00000000" w14:paraId="0000003A">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Layer 3: The Rack</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Subtitle:</w:t>
      </w:r>
      <w:r w:rsidDel="00000000" w:rsidR="00000000" w:rsidRPr="00000000">
        <w:rPr>
          <w:rFonts w:ascii="Google Sans Text" w:cs="Google Sans Text" w:eastAsia="Google Sans Text" w:hAnsi="Google Sans Text"/>
          <w:color w:val="1f1f1f"/>
          <w:rtl w:val="0"/>
        </w:rPr>
        <w:t xml:space="preserve"> The Density Shift (System Layer)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Overview:</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rack is the physical cabinet that holds the servers. It has transformed from a simple storage shelf into a complex plumbing system that must deliver massive amounts of power and liquid coolant to a very small space.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NVL72 Standard</w:t>
      </w:r>
      <w:r w:rsidDel="00000000" w:rsidR="00000000" w:rsidRPr="00000000">
        <w:rPr>
          <w:rFonts w:ascii="Google Sans Text" w:cs="Google Sans Text" w:eastAsia="Google Sans Text" w:hAnsi="Google Sans Text"/>
          <w:color w:val="1f1f1f"/>
          <w:rtl w:val="0"/>
        </w:rPr>
        <w:t xml:space="preserve"> The unit of compute has shifted from the single server to the entire rack. The Nvidia GB200 NVL72 is a rack-scale computer containing 72 GPUs and 36 CPUs acting as a single logical entity. The power implications are staggering. A single rack now consumes </w:t>
      </w:r>
      <w:r w:rsidDel="00000000" w:rsidR="00000000" w:rsidRPr="00000000">
        <w:rPr>
          <w:rFonts w:ascii="Google Sans Text" w:cs="Google Sans Text" w:eastAsia="Google Sans Text" w:hAnsi="Google Sans Text"/>
          <w:b w:val="1"/>
          <w:bCs w:val="1"/>
          <w:color w:val="1f1f1f"/>
          <w:rtl w:val="0"/>
        </w:rPr>
        <w:t xml:space="preserve">120 kilowatts (kW)</w:t>
      </w:r>
      <w:r w:rsidDel="00000000" w:rsidR="00000000" w:rsidRPr="00000000">
        <w:rPr>
          <w:rFonts w:ascii="Google Sans Text" w:cs="Google Sans Text" w:eastAsia="Google Sans Text" w:hAnsi="Google Sans Text"/>
          <w:color w:val="1f1f1f"/>
          <w:rtl w:val="0"/>
        </w:rPr>
        <w:t xml:space="preserve">. For context, the average legacy enterprise rack consumes just 7 kW.</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Copper Paradox</w:t>
      </w:r>
      <w:r w:rsidDel="00000000" w:rsidR="00000000" w:rsidRPr="00000000">
        <w:rPr>
          <w:rFonts w:ascii="Google Sans Text" w:cs="Google Sans Text" w:eastAsia="Google Sans Text" w:hAnsi="Google Sans Text"/>
          <w:color w:val="1f1f1f"/>
          <w:rtl w:val="0"/>
        </w:rPr>
        <w:t xml:space="preserve"> A key innovation driving this density is the use of copper cabling. Engineers chose copper cabling over fiber optics for internal communication to save power. Fiber optics require transceivers that consume significant power. By using copper, the rack saves approximately </w:t>
      </w:r>
      <w:r w:rsidDel="00000000" w:rsidR="00000000" w:rsidRPr="00000000">
        <w:rPr>
          <w:rFonts w:ascii="Google Sans Text" w:cs="Google Sans Text" w:eastAsia="Google Sans Text" w:hAnsi="Google Sans Text"/>
          <w:b w:val="1"/>
          <w:bCs w:val="1"/>
          <w:color w:val="1f1f1f"/>
          <w:rtl w:val="0"/>
        </w:rPr>
        <w:t xml:space="preserve">20 kW</w:t>
      </w:r>
      <w:r w:rsidDel="00000000" w:rsidR="00000000" w:rsidRPr="00000000">
        <w:rPr>
          <w:rFonts w:ascii="Google Sans Text" w:cs="Google Sans Text" w:eastAsia="Google Sans Text" w:hAnsi="Google Sans Text"/>
          <w:color w:val="1f1f1f"/>
          <w:rtl w:val="0"/>
        </w:rPr>
        <w:t xml:space="preserve"> of power. However, copper loses signal integrity over long distances. To work, the cables cannot exceed roughly 0.8 meters. This forces the entire 72 GPU cluster to be packed into a single cabinet with zero wasted space. This creates a thermal bomb that can only be cooled by liquid.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Rack Power Evolution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Typical Density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Cooling Method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Legacy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7-10 kW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Standard Air (CRAC)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Early AI (2023)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 kW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Performance Air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Frontier AI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120 kW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Liquid (Direct-to-Chip)</w:t>
            </w:r>
          </w:p>
        </w:tc>
      </w:tr>
    </w:tbl>
    <w:p w:rsidR="00000000" w:rsidDel="00000000" w:rsidP="00000000" w:rsidRDefault="00000000" w:rsidRPr="00000000" w14:paraId="0000004D">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Layer 4: The Facility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Subtitle:</w:t>
      </w:r>
      <w:r w:rsidDel="00000000" w:rsidR="00000000" w:rsidRPr="00000000">
        <w:rPr>
          <w:rFonts w:ascii="Google Sans Text" w:cs="Google Sans Text" w:eastAsia="Google Sans Text" w:hAnsi="Google Sans Text"/>
          <w:color w:val="1f1f1f"/>
          <w:rtl w:val="0"/>
        </w:rPr>
        <w:t xml:space="preserve"> The Gigawatt Campus (Construction Layer)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Overview:</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layer is the physical building that houses the computers. These are no longer just warehouses. They are gigawatt-scale industrial plants that consume as much electricity and water as a medium-sized city.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From Mega to Giga</w:t>
      </w:r>
      <w:r w:rsidDel="00000000" w:rsidR="00000000" w:rsidRPr="00000000">
        <w:rPr>
          <w:rFonts w:ascii="Google Sans Text" w:cs="Google Sans Text" w:eastAsia="Google Sans Text" w:hAnsi="Google Sans Text"/>
          <w:color w:val="1f1f1f"/>
          <w:rtl w:val="0"/>
        </w:rPr>
        <w:t xml:space="preserve"> The AI Factory is physically distinct from the cloud data centers of the 2010s. We are witnessing the emergence of the Gigawatt Campus. These are single sites designed to consume 1 GW of power. Examples include the Microsoft and OpenAI Stargate project which targets 5 GW of capacity. Oracle is also designing a 1 GW campus supported by three dedicated small modular reactors.</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Capital Intensity and Water Usage</w:t>
      </w:r>
      <w:r w:rsidDel="00000000" w:rsidR="00000000" w:rsidRPr="00000000">
        <w:rPr>
          <w:rFonts w:ascii="Google Sans Text" w:cs="Google Sans Text" w:eastAsia="Google Sans Text" w:hAnsi="Google Sans Text"/>
          <w:color w:val="1f1f1f"/>
          <w:rtl w:val="0"/>
        </w:rPr>
        <w:t xml:space="preserve"> The cost of building these facilities has skyrocketed due to supply chain constraints and the complexity of Mechanical, Electrical, and Plumbing (MEP) systems. The current construction cost is estimated at </w:t>
      </w:r>
      <w:r w:rsidDel="00000000" w:rsidR="00000000" w:rsidRPr="00000000">
        <w:rPr>
          <w:rFonts w:ascii="Google Sans Text" w:cs="Google Sans Text" w:eastAsia="Google Sans Text" w:hAnsi="Google Sans Text"/>
          <w:b w:val="1"/>
          <w:bCs w:val="1"/>
          <w:color w:val="1f1f1f"/>
          <w:rtl w:val="0"/>
        </w:rPr>
        <w:t xml:space="preserve">$11.3 million per MW</w:t>
      </w:r>
      <w:r w:rsidDel="00000000" w:rsidR="00000000" w:rsidRPr="00000000">
        <w:rPr>
          <w:rFonts w:ascii="Google Sans Text" w:cs="Google Sans Text" w:eastAsia="Google Sans Text" w:hAnsi="Google Sans Text"/>
          <w:color w:val="1f1f1f"/>
          <w:rtl w:val="0"/>
        </w:rPr>
        <w:t xml:space="preserve">. Water usage is another critical constraint. AI demand is projected to consume </w:t>
      </w:r>
      <w:r w:rsidDel="00000000" w:rsidR="00000000" w:rsidRPr="00000000">
        <w:rPr>
          <w:rFonts w:ascii="Google Sans Text" w:cs="Google Sans Text" w:eastAsia="Google Sans Text" w:hAnsi="Google Sans Text"/>
          <w:b w:val="1"/>
          <w:bCs w:val="1"/>
          <w:color w:val="1f1f1f"/>
          <w:rtl w:val="0"/>
        </w:rPr>
        <w:t xml:space="preserve">4.2 to 6.6 trillion liters of water</w:t>
      </w:r>
      <w:r w:rsidDel="00000000" w:rsidR="00000000" w:rsidRPr="00000000">
        <w:rPr>
          <w:rFonts w:ascii="Google Sans Text" w:cs="Google Sans Text" w:eastAsia="Google Sans Text" w:hAnsi="Google Sans Text"/>
          <w:color w:val="1f1f1f"/>
          <w:rtl w:val="0"/>
        </w:rPr>
        <w:t xml:space="preserve"> annually by 2030. In response, hyperscalers like Microsoft are deploying zero water designs that utilize closed-loop liquid cooling systems to mitigate environmental impact in water-stressed regions.</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Global Data Center CAPEX Forecast (2025-2030)</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Investment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Computing Hardware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~$4.3 Trillion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Energizers (MEP)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~$1.3 Trillion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Construction &amp; Shell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 Trillion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~$6.7 Trillion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r>
    </w:tbl>
    <w:p w:rsidR="00000000" w:rsidDel="00000000" w:rsidP="00000000" w:rsidRDefault="00000000" w:rsidRPr="00000000" w14:paraId="0000006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Layer 5: The Grid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Subtitle:</w:t>
      </w:r>
      <w:r w:rsidDel="00000000" w:rsidR="00000000" w:rsidRPr="00000000">
        <w:rPr>
          <w:rFonts w:ascii="Google Sans Text" w:cs="Google Sans Text" w:eastAsia="Google Sans Text" w:hAnsi="Google Sans Text"/>
          <w:color w:val="1f1f1f"/>
          <w:rtl w:val="0"/>
        </w:rPr>
        <w:t xml:space="preserve"> The Long Wait (Transmission Layer)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Overview:</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grid represents the wires, substations, and transformers needed to deliver electricity to the facility. This is currently the biggest bottleneck because the equipment is sold out and the regulatory process to connect takes years.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 2.6 Terawatt Queue</w:t>
      </w:r>
      <w:r w:rsidDel="00000000" w:rsidR="00000000" w:rsidRPr="00000000">
        <w:rPr>
          <w:rFonts w:ascii="Google Sans Text" w:cs="Google Sans Text" w:eastAsia="Google Sans Text" w:hAnsi="Google Sans Text"/>
          <w:color w:val="1f1f1f"/>
          <w:rtl w:val="0"/>
        </w:rPr>
        <w:t xml:space="preserve"> The US electrical grid has become the single largest bottleneck in the AI stack. As of 2025, there are over </w:t>
      </w:r>
      <w:r w:rsidDel="00000000" w:rsidR="00000000" w:rsidRPr="00000000">
        <w:rPr>
          <w:rFonts w:ascii="Google Sans Text" w:cs="Google Sans Text" w:eastAsia="Google Sans Text" w:hAnsi="Google Sans Text"/>
          <w:b w:val="1"/>
          <w:bCs w:val="1"/>
          <w:color w:val="1f1f1f"/>
          <w:rtl w:val="0"/>
        </w:rPr>
        <w:t xml:space="preserve">2.6 Terawatts (TW)</w:t>
      </w:r>
      <w:r w:rsidDel="00000000" w:rsidR="00000000" w:rsidRPr="00000000">
        <w:rPr>
          <w:rFonts w:ascii="Google Sans Text" w:cs="Google Sans Text" w:eastAsia="Google Sans Text" w:hAnsi="Google Sans Text"/>
          <w:color w:val="1f1f1f"/>
          <w:rtl w:val="0"/>
        </w:rPr>
        <w:t xml:space="preserve"> of generation capacity stuck in interconnection queues. These are projects waiting for permission to plug into the grid. This volume is more than twice the total installed generating capacity of the entire United States. The median wait time for a new interconnection agreement has ballooned to </w:t>
      </w:r>
      <w:r w:rsidDel="00000000" w:rsidR="00000000" w:rsidRPr="00000000">
        <w:rPr>
          <w:rFonts w:ascii="Google Sans Text" w:cs="Google Sans Text" w:eastAsia="Google Sans Text" w:hAnsi="Google Sans Text"/>
          <w:b w:val="1"/>
          <w:bCs w:val="1"/>
          <w:color w:val="1f1f1f"/>
          <w:rtl w:val="0"/>
        </w:rPr>
        <w:t xml:space="preserve">5 years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Transformer Shortage</w:t>
      </w:r>
      <w:r w:rsidDel="00000000" w:rsidR="00000000" w:rsidRPr="00000000">
        <w:rPr>
          <w:rFonts w:ascii="Google Sans Text" w:cs="Google Sans Text" w:eastAsia="Google Sans Text" w:hAnsi="Google Sans Text"/>
          <w:color w:val="1f1f1f"/>
          <w:rtl w:val="0"/>
        </w:rPr>
        <w:t xml:space="preserve"> Even if permission is granted, the physical hardware is missing. Large Power Transformers (LPTs) are the massive grid components that step down voltage. They are facing a critical supply chain crisis. Lead times for these components have hit </w:t>
      </w:r>
      <w:r w:rsidDel="00000000" w:rsidR="00000000" w:rsidRPr="00000000">
        <w:rPr>
          <w:rFonts w:ascii="Google Sans Text" w:cs="Google Sans Text" w:eastAsia="Google Sans Text" w:hAnsi="Google Sans Text"/>
          <w:b w:val="1"/>
          <w:bCs w:val="1"/>
          <w:color w:val="1f1f1f"/>
          <w:rtl w:val="0"/>
        </w:rPr>
        <w:t xml:space="preserve">120 to 210 weeks</w:t>
      </w:r>
      <w:r w:rsidDel="00000000" w:rsidR="00000000" w:rsidRPr="00000000">
        <w:rPr>
          <w:rFonts w:ascii="Google Sans Text" w:cs="Google Sans Text" w:eastAsia="Google Sans Text" w:hAnsi="Google Sans Text"/>
          <w:color w:val="1f1f1f"/>
          <w:rtl w:val="0"/>
        </w:rPr>
        <w:t xml:space="preserve">. Prices have risen 60 to 80 percent since 2020 due to shortages of electrical steel and skilled labor. This implies that companies can buy GPUs today but may not be able to energize them until 2029 without stockpiled electrical infrastructure.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Regulatory Moats</w:t>
      </w:r>
      <w:r w:rsidDel="00000000" w:rsidR="00000000" w:rsidRPr="00000000">
        <w:rPr>
          <w:rFonts w:ascii="Google Sans Text" w:cs="Google Sans Text" w:eastAsia="Google Sans Text" w:hAnsi="Google Sans Text"/>
          <w:color w:val="1f1f1f"/>
          <w:rtl w:val="0"/>
        </w:rPr>
        <w:t xml:space="preserve"> In late 2024, the Federal Energy Regulatory Commission (FERC) rejected a deal between Amazon and Talen Energy to co-locate a data center directly at a nuclear plant. This ruling signaled that behind-the-meter deals will face stiff regulatory resistance. The regulators are concerned that taking existing power plants off the grid for private AI use raises costs for regular consumers.</w:t>
      </w:r>
    </w:p>
    <w:p w:rsidR="00000000" w:rsidDel="00000000" w:rsidP="00000000" w:rsidRDefault="00000000" w:rsidRPr="00000000" w14:paraId="00000068">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Layer 6: The Electron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Subtitle:</w:t>
      </w:r>
      <w:r w:rsidDel="00000000" w:rsidR="00000000" w:rsidRPr="00000000">
        <w:rPr>
          <w:rFonts w:ascii="Google Sans Text" w:cs="Google Sans Text" w:eastAsia="Google Sans Text" w:hAnsi="Google Sans Text"/>
          <w:color w:val="1f1f1f"/>
          <w:rtl w:val="0"/>
        </w:rPr>
        <w:t xml:space="preserve"> The Clean Firm Source (Generation Layer)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Overview:</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fuel source itself. Since AI needs to run 24 hours a day, it cannot rely solely on wind or solar power. This has forced tech companies to buy nuclear power plants to guarantee a steady flow of carbon-free electricity.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The Nuclear Renaissance</w:t>
      </w:r>
      <w:r w:rsidDel="00000000" w:rsidR="00000000" w:rsidRPr="00000000">
        <w:rPr>
          <w:rFonts w:ascii="Google Sans Text" w:cs="Google Sans Text" w:eastAsia="Google Sans Text" w:hAnsi="Google Sans Text"/>
          <w:color w:val="1f1f1f"/>
          <w:rtl w:val="0"/>
        </w:rPr>
        <w:t xml:space="preserve"> Solar and wind power are intermittent. AI training requires 99.999% uptime. This reliability gap has made Big Tech the primary financier of a new nuclear age. In a historic 2024 deal, Microsoft signed a 20-year Power Purchase Agreement to restart the Three Mile Island Unit 1 nuclear reactor. This will secure 835 MW of carbon-free baseload power specifically for AI.</w: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Small Modular Reactors and Geothermal</w:t>
      </w:r>
      <w:r w:rsidDel="00000000" w:rsidR="00000000" w:rsidRPr="00000000">
        <w:rPr>
          <w:rFonts w:ascii="Google Sans Text" w:cs="Google Sans Text" w:eastAsia="Google Sans Text" w:hAnsi="Google Sans Text"/>
          <w:color w:val="1f1f1f"/>
          <w:rtl w:val="0"/>
        </w:rPr>
        <w:t xml:space="preserve"> For future capacity, companies like Oracle and Google are investing in Small Modular Reactors (SMRs) and geothermal energy. Oracle plans to power a 1 GW campus with three SMRs. Google has partnered with Fervo Energy to use fracking technology to tap into subterranean heat reservoirs for clean baseload power. However, SMR timelines are slipping. While promising, designs from companies like NuScale and Oklo are not expected to be commercially operational at scale until </w:t>
      </w:r>
      <w:r w:rsidDel="00000000" w:rsidR="00000000" w:rsidRPr="00000000">
        <w:rPr>
          <w:rFonts w:ascii="Google Sans Text" w:cs="Google Sans Text" w:eastAsia="Google Sans Text" w:hAnsi="Google Sans Text"/>
          <w:b w:val="1"/>
          <w:bCs w:val="1"/>
          <w:color w:val="1f1f1f"/>
          <w:rtl w:val="0"/>
        </w:rPr>
        <w:t xml:space="preserve">2030 or later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The Race for Baseload Power</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Availability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Carbon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Scalability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Nuclear (Restart)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(Limited sites)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Nuclear (SMR)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(Factory built)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Geothermal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Medium (Geo dependent)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Natural 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(But high carbon)</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ind w:left="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