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RAPPORT DE PRÉSENTATION DU DASHBOARD</w:t>
      </w:r>
    </w:p>
    <w:p>
      <w:pPr>
        <w:jc w:val="center"/>
      </w:pPr>
      <w:r>
        <w:rPr>
          <w:b/>
          <w:sz w:val="28"/>
        </w:rPr>
        <w:t>Marketing Analytics — Segmentation, comportement, performance et rétention</w:t>
      </w:r>
    </w:p>
    <w:p>
      <w:pPr>
        <w:jc w:val="center"/>
      </w:pPr>
      <w:r>
        <w:rPr>
          <w:i/>
        </w:rPr>
        <w:t>Document de référence pour la rédaction du rapport et la présentation du projet</w:t>
      </w:r>
    </w:p>
    <w:p>
      <w:pPr>
        <w:pStyle w:val="Heading1"/>
      </w:pPr>
      <w:r>
        <w:t>1. Objectif du dashboard</w:t>
      </w:r>
    </w:p>
    <w:p>
      <w:r>
        <w:t>Le dashboard a été conçu pour transformer les résultats des différents modules du projet marketing en une interface unique, lisible et exploitable. Il permet de passer de la compréhension des clients à la recommandation d’actions marketing personnalisées, en intégrant également la performance des campagnes et le risque de churn.</w:t>
      </w:r>
    </w:p>
    <w:p>
      <w:pPr>
        <w:pStyle w:val="Heading1"/>
      </w:pPr>
      <w:r>
        <w:t>2. Logique générale</w:t>
      </w:r>
    </w:p>
    <w:p>
      <w:r>
        <w:t>Le dashboard suit une progression volontaire en six pages :</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E3A8A"/>
          </w:tcPr>
          <w:p>
            <w:r>
              <w:rPr>
                <w:b/>
                <w:color w:val="FFFFFF"/>
              </w:rPr>
              <w:t>Page</w:t>
            </w:r>
          </w:p>
        </w:tc>
        <w:tc>
          <w:tcPr>
            <w:tcW w:type="dxa" w:w="3360"/>
            <w:shd w:fill="1E3A8A"/>
          </w:tcPr>
          <w:p>
            <w:r>
              <w:rPr>
                <w:b/>
                <w:color w:val="FFFFFF"/>
              </w:rPr>
              <w:t>Intitulé</w:t>
            </w:r>
          </w:p>
        </w:tc>
        <w:tc>
          <w:tcPr>
            <w:tcW w:type="dxa" w:w="3360"/>
            <w:shd w:fill="1E3A8A"/>
          </w:tcPr>
          <w:p>
            <w:r>
              <w:rPr>
                <w:b/>
                <w:color w:val="FFFFFF"/>
              </w:rPr>
              <w:t>Question principale</w:t>
            </w:r>
          </w:p>
        </w:tc>
      </w:tr>
      <w:tr>
        <w:tc>
          <w:tcPr>
            <w:tcW w:type="dxa" w:w="3360"/>
          </w:tcPr>
          <w:p>
            <w:r>
              <w:t>1</w:t>
            </w:r>
          </w:p>
        </w:tc>
        <w:tc>
          <w:tcPr>
            <w:tcW w:type="dxa" w:w="3360"/>
          </w:tcPr>
          <w:p>
            <w:r>
              <w:t>Vue générale</w:t>
            </w:r>
          </w:p>
        </w:tc>
        <w:tc>
          <w:tcPr>
            <w:tcW w:type="dxa" w:w="3360"/>
          </w:tcPr>
          <w:p>
            <w:r>
              <w:t>Quelle est la situation globale de la clientèle et de l’activité ?</w:t>
            </w:r>
          </w:p>
        </w:tc>
      </w:tr>
      <w:tr>
        <w:tc>
          <w:tcPr>
            <w:tcW w:type="dxa" w:w="3360"/>
          </w:tcPr>
          <w:p>
            <w:r>
              <w:t>2</w:t>
            </w:r>
          </w:p>
        </w:tc>
        <w:tc>
          <w:tcPr>
            <w:tcW w:type="dxa" w:w="3360"/>
          </w:tcPr>
          <w:p>
            <w:r>
              <w:t>Segmentation clients</w:t>
            </w:r>
          </w:p>
        </w:tc>
        <w:tc>
          <w:tcPr>
            <w:tcW w:type="dxa" w:w="3360"/>
          </w:tcPr>
          <w:p>
            <w:r>
              <w:t>Quels sont les principaux profils de clients ?</w:t>
            </w:r>
          </w:p>
        </w:tc>
      </w:tr>
      <w:tr>
        <w:tc>
          <w:tcPr>
            <w:tcW w:type="dxa" w:w="3360"/>
          </w:tcPr>
          <w:p>
            <w:r>
              <w:t>3</w:t>
            </w:r>
          </w:p>
        </w:tc>
        <w:tc>
          <w:tcPr>
            <w:tcW w:type="dxa" w:w="3360"/>
          </w:tcPr>
          <w:p>
            <w:r>
              <w:t>Comportement d’achat</w:t>
            </w:r>
          </w:p>
        </w:tc>
        <w:tc>
          <w:tcPr>
            <w:tcW w:type="dxa" w:w="3360"/>
          </w:tcPr>
          <w:p>
            <w:r>
              <w:t>Comment les différents segments achètent-ils ?</w:t>
            </w:r>
          </w:p>
        </w:tc>
      </w:tr>
      <w:tr>
        <w:tc>
          <w:tcPr>
            <w:tcW w:type="dxa" w:w="3360"/>
          </w:tcPr>
          <w:p>
            <w:r>
              <w:t>4</w:t>
            </w:r>
          </w:p>
        </w:tc>
        <w:tc>
          <w:tcPr>
            <w:tcW w:type="dxa" w:w="3360"/>
          </w:tcPr>
          <w:p>
            <w:r>
              <w:t>Performance marketing</w:t>
            </w:r>
          </w:p>
        </w:tc>
        <w:tc>
          <w:tcPr>
            <w:tcW w:type="dxa" w:w="3360"/>
          </w:tcPr>
          <w:p>
            <w:r>
              <w:t>Quels canaux et campagnes sont les plus efficaces ?</w:t>
            </w:r>
          </w:p>
        </w:tc>
      </w:tr>
      <w:tr>
        <w:tc>
          <w:tcPr>
            <w:tcW w:type="dxa" w:w="3360"/>
          </w:tcPr>
          <w:p>
            <w:r>
              <w:t>5</w:t>
            </w:r>
          </w:p>
        </w:tc>
        <w:tc>
          <w:tcPr>
            <w:tcW w:type="dxa" w:w="3360"/>
          </w:tcPr>
          <w:p>
            <w:r>
              <w:t>Stratégie marketing personnalisée</w:t>
            </w:r>
          </w:p>
        </w:tc>
        <w:tc>
          <w:tcPr>
            <w:tcW w:type="dxa" w:w="3360"/>
          </w:tcPr>
          <w:p>
            <w:r>
              <w:t>Quelles actions recommander à chaque segment ?</w:t>
            </w:r>
          </w:p>
        </w:tc>
      </w:tr>
      <w:tr>
        <w:tc>
          <w:tcPr>
            <w:tcW w:type="dxa" w:w="3360"/>
          </w:tcPr>
          <w:p>
            <w:r>
              <w:t>6</w:t>
            </w:r>
          </w:p>
        </w:tc>
        <w:tc>
          <w:tcPr>
            <w:tcW w:type="dxa" w:w="3360"/>
          </w:tcPr>
          <w:p>
            <w:r>
              <w:t>Churn &amp; rétention</w:t>
            </w:r>
          </w:p>
        </w:tc>
        <w:tc>
          <w:tcPr>
            <w:tcW w:type="dxa" w:w="3360"/>
          </w:tcPr>
          <w:p>
            <w:r>
              <w:t>Quels clients présentent un risque de départ et comment agir ?</w:t>
            </w:r>
          </w:p>
        </w:tc>
      </w:tr>
    </w:tbl>
    <w:p>
      <w:pPr>
        <w:pStyle w:val="Heading1"/>
      </w:pPr>
      <w:r>
        <w:t>3. Sources de données et rôle des tables</w:t>
      </w:r>
    </w:p>
    <w:p>
      <w:r>
        <w:t>Le modèle Power BI rassemble plusieurs tables issues des modules du projet. Chaque table est utilisée selon son rôle afin d’éviter les doublons et les ambiguïtés dans les visuels.</w:t>
      </w:r>
    </w:p>
    <w:p>
      <w:r>
        <w:rPr>
          <w:b/>
        </w:rPr>
        <w:t xml:space="preserve">Customers : </w:t>
      </w:r>
      <w:r>
        <w:t>Table principale des clients. Elle contient les informations individuelles, les indicateurs d’achat et la segmentation officielle. Le champ Nom segment permet d’afficher les trois profils métier.</w:t>
      </w:r>
    </w:p>
    <w:p>
      <w:r>
        <w:rPr>
          <w:b/>
        </w:rPr>
        <w:t xml:space="preserve">Categories_Segments : </w:t>
      </w:r>
      <w:r>
        <w:t>Associe chaque segment à sa catégorie dominante et à sa part de catégorie.</w:t>
      </w:r>
    </w:p>
    <w:p>
      <w:r>
        <w:rPr>
          <w:b/>
        </w:rPr>
        <w:t xml:space="preserve">Marketing : </w:t>
      </w:r>
      <w:r>
        <w:t>Contient les performances des campagnes : canal, budget, impressions, clics et conversions.</w:t>
      </w:r>
    </w:p>
    <w:p>
      <w:r>
        <w:rPr>
          <w:b/>
        </w:rPr>
        <w:t xml:space="preserve">Churn : </w:t>
      </w:r>
      <w:r>
        <w:t>Contient les variables de risque de churn, notamment la probabilité, la prédiction, le niveau de risque et l’action marketing associée.</w:t>
      </w:r>
    </w:p>
    <w:p>
      <w:r>
        <w:rPr>
          <w:b/>
        </w:rPr>
        <w:t xml:space="preserve">Strategy : </w:t>
      </w:r>
      <w:r>
        <w:t>Contient les recommandations marketing personnalisées par segment : catégorie dominante, action, canal recommandé et contenu.</w:t>
      </w:r>
    </w:p>
    <w:p>
      <w:pPr>
        <w:pStyle w:val="Heading1"/>
      </w:pPr>
      <w:r>
        <w:t>4. Segmentation client</w:t>
      </w:r>
    </w:p>
    <w:p>
      <w:r>
        <w:t>La segmentation officielle repose sur trois groupes issus des caractéristiques d’achat. Elle est utilisée comme fil conducteur du dashboard.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2563EB"/>
          </w:tcPr>
          <w:p>
            <w:r>
              <w:rPr>
                <w:b/>
                <w:color w:val="FFFFFF"/>
              </w:rPr>
              <w:t>Segment</w:t>
            </w:r>
          </w:p>
        </w:tc>
        <w:tc>
          <w:tcPr>
            <w:tcW w:type="dxa" w:w="2520"/>
            <w:shd w:fill="2563EB"/>
          </w:tcPr>
          <w:p>
            <w:r>
              <w:rPr>
                <w:b/>
                <w:color w:val="FFFFFF"/>
              </w:rPr>
              <w:t>Profil</w:t>
            </w:r>
          </w:p>
        </w:tc>
        <w:tc>
          <w:tcPr>
            <w:tcW w:type="dxa" w:w="2520"/>
            <w:shd w:fill="2563EB"/>
          </w:tcPr>
          <w:p>
            <w:r>
              <w:rPr>
                <w:b/>
                <w:color w:val="FFFFFF"/>
              </w:rPr>
              <w:t>Dépense moyenne</w:t>
            </w:r>
          </w:p>
        </w:tc>
        <w:tc>
          <w:tcPr>
            <w:tcW w:type="dxa" w:w="2520"/>
            <w:shd w:fill="2563EB"/>
          </w:tcPr>
          <w:p>
            <w:r>
              <w:rPr>
                <w:b/>
                <w:color w:val="FFFFFF"/>
              </w:rPr>
              <w:t>Fréquence moyenne</w:t>
            </w:r>
          </w:p>
        </w:tc>
      </w:tr>
      <w:tr>
        <w:tc>
          <w:tcPr>
            <w:tcW w:type="dxa" w:w="2520"/>
          </w:tcPr>
          <w:p>
            <w:r>
              <w:t>0</w:t>
            </w:r>
          </w:p>
        </w:tc>
        <w:tc>
          <w:tcPr>
            <w:tcW w:type="dxa" w:w="2520"/>
          </w:tcPr>
          <w:p>
            <w:r>
              <w:t>Clients occasionnels</w:t>
            </w:r>
          </w:p>
        </w:tc>
        <w:tc>
          <w:tcPr>
            <w:tcW w:type="dxa" w:w="2520"/>
          </w:tcPr>
          <w:p>
            <w:r>
              <w:t>≈ 166 €</w:t>
            </w:r>
          </w:p>
        </w:tc>
        <w:tc>
          <w:tcPr>
            <w:tcW w:type="dxa" w:w="2520"/>
          </w:tcPr>
          <w:p>
            <w:r>
              <w:t>≈ 1,74</w:t>
            </w:r>
          </w:p>
        </w:tc>
      </w:tr>
      <w:tr>
        <w:tc>
          <w:tcPr>
            <w:tcW w:type="dxa" w:w="2520"/>
          </w:tcPr>
          <w:p>
            <w:r>
              <w:t>1</w:t>
            </w:r>
          </w:p>
        </w:tc>
        <w:tc>
          <w:tcPr>
            <w:tcW w:type="dxa" w:w="2520"/>
          </w:tcPr>
          <w:p>
            <w:r>
              <w:t>Clients à forte valeur</w:t>
            </w:r>
          </w:p>
        </w:tc>
        <w:tc>
          <w:tcPr>
            <w:tcW w:type="dxa" w:w="2520"/>
          </w:tcPr>
          <w:p>
            <w:r>
              <w:t>≈ 1 882 €</w:t>
            </w:r>
          </w:p>
        </w:tc>
        <w:tc>
          <w:tcPr>
            <w:tcW w:type="dxa" w:w="2520"/>
          </w:tcPr>
          <w:p>
            <w:r>
              <w:t>≈ 11,03</w:t>
            </w:r>
          </w:p>
        </w:tc>
      </w:tr>
      <w:tr>
        <w:tc>
          <w:tcPr>
            <w:tcW w:type="dxa" w:w="2520"/>
          </w:tcPr>
          <w:p>
            <w:r>
              <w:t>2</w:t>
            </w:r>
          </w:p>
        </w:tc>
        <w:tc>
          <w:tcPr>
            <w:tcW w:type="dxa" w:w="2520"/>
          </w:tcPr>
          <w:p>
            <w:r>
              <w:t>Clients réguliers à panier élevé</w:t>
            </w:r>
          </w:p>
        </w:tc>
        <w:tc>
          <w:tcPr>
            <w:tcW w:type="dxa" w:w="2520"/>
          </w:tcPr>
          <w:p>
            <w:r>
              <w:t>≈ 787 €</w:t>
            </w:r>
          </w:p>
        </w:tc>
        <w:tc>
          <w:tcPr>
            <w:tcW w:type="dxa" w:w="2520"/>
          </w:tcPr>
          <w:p>
            <w:r>
              <w:t>≈ 4,53</w:t>
            </w:r>
          </w:p>
        </w:tc>
      </w:tr>
    </w:tbl>
    <w:p>
      <w:r>
        <w:t>Le segment 0 correspond à une clientèle peu fréquente et de faible dépense. Le segment 1 regroupe les clients à très forte valeur et très actifs. Le segment 2 présente une fréquence plus régulière et un panier moyen élevé, avec une dépense totale intermédiaire.</w:t>
      </w:r>
    </w:p>
    <w:p>
      <w:pPr>
        <w:pStyle w:val="Heading1"/>
      </w:pPr>
      <w:r>
        <w:t>5. Description détaillée des pages</w:t>
      </w:r>
    </w:p>
    <w:p>
      <w:pPr>
        <w:pStyle w:val="Heading2"/>
      </w:pPr>
      <w:r>
        <w:t>Page 1 — Vue générale</w:t>
      </w:r>
    </w:p>
    <w:p>
      <w:r>
        <w:t>Cette page constitue le point d’entrée du dashboard. Elle synthétise les principaux indicateurs clients et commerciaux à travers des cartes KPI et des graphiques de synthèse. Elle permet de comprendre rapidement l’état général de la clientèle avant d’entrer dans les analyses détaillées.</w:t>
      </w:r>
    </w:p>
    <w:p>
      <w:pPr>
        <w:pStyle w:val="Heading2"/>
      </w:pPr>
      <w:r>
        <w:t>Page 2 — Segmentation clients</w:t>
      </w:r>
    </w:p>
    <w:p>
      <w:r>
        <w:t>Cette page présente les trois segments issus de la segmentation. Elle met en évidence leur poids dans la clientèle et leurs caractéristiques principales. L’objectif est d’identifier les profils qui nécessitent des approches marketing différentes.</w:t>
      </w:r>
    </w:p>
    <w:p>
      <w:pPr>
        <w:pStyle w:val="Heading2"/>
      </w:pPr>
      <w:r>
        <w:t>Page 3 — Comportement d’achat</w:t>
      </w:r>
    </w:p>
    <w:p>
      <w:r>
        <w:t>Cette page approfondit la segmentation en comparant la dépense moyenne, la fréquence d’achat, le panier moyen et les préférences de catégorie. Les catégories dominantes sont issues de Categories_Segments : Lifestyle pour le segment 0, Home pour les segments 1 et 2.</w:t>
      </w:r>
    </w:p>
    <w:p>
      <w:pPr>
        <w:pStyle w:val="Heading2"/>
      </w:pPr>
      <w:r>
        <w:t>Page 4 — Performance marketing</w:t>
      </w:r>
    </w:p>
    <w:p>
      <w:r>
        <w:t>Cette page évalue les performances des canaux à partir du budget, des clics et des conversions. Les indicateurs dérivés comprennent le taux de conversion, le CPC et le CPA. Les résultats montrent notamment une bonne efficacité de conversion de TV et une forte efficacité de coût du canal In-Store, tandis que Social présente le CPA le plus élevé dans les résultats étudiés.</w:t>
      </w:r>
    </w:p>
    <w:p>
      <w:pPr>
        <w:pStyle w:val="Heading2"/>
      </w:pPr>
      <w:r>
        <w:t>Page 5 — Stratégie marketing personnalisée</w:t>
      </w:r>
    </w:p>
    <w:p>
      <w:r>
        <w:t>Cette page transforme les analyses précédentes en recommandations opérationnelles. Le tableau Strategy associe chaque segment à une catégorie dominante, une action, un canal recommandé et un contenu. Les trois orientations principales sont Réactivation, Fidélisation et Développement.</w:t>
      </w:r>
    </w:p>
    <w:p>
      <w:pPr>
        <w:pStyle w:val="Heading2"/>
      </w:pPr>
      <w:r>
        <w:t>Page 6 — Churn &amp; rétention</w:t>
      </w:r>
    </w:p>
    <w:p>
      <w:r>
        <w:t>Cette page identifie les clients selon leur risque de churn. Elle présente la probabilité de churn, le niveau de risque et l’action marketing proposée. La logique métier distingue les risques faible, moyen et élevé afin de prioriser les actions de fidélisation et de rétention.</w:t>
      </w:r>
    </w:p>
    <w:p>
      <w:pPr>
        <w:pStyle w:val="Heading1"/>
      </w:pPr>
      <w:r>
        <w:t>6. Principaux résultats à retenir</w:t>
      </w:r>
    </w:p>
    <w:p>
      <w:pPr>
        <w:pStyle w:val="ListBullet"/>
      </w:pPr>
      <w:r>
        <w:t>La clientèle se répartit entre trois profils ayant des comportements d’achat nettement différents.</w:t>
      </w:r>
    </w:p>
    <w:p>
      <w:pPr>
        <w:pStyle w:val="ListBullet"/>
      </w:pPr>
      <w:r>
        <w:t>Les clients à forte valeur combinent une dépense totale et une fréquence d’achat particulièrement élevées.</w:t>
      </w:r>
    </w:p>
    <w:p>
      <w:pPr>
        <w:pStyle w:val="ListBullet"/>
      </w:pPr>
      <w:r>
        <w:t>Les clients réguliers à panier élevé constituent un profil intéressant pour les actions de développement et de ventes complémentaires.</w:t>
      </w:r>
    </w:p>
    <w:p>
      <w:pPr>
        <w:pStyle w:val="ListBullet"/>
      </w:pPr>
      <w:r>
        <w:t>La catégorie Home domine les segments à forte valeur et réguliers à panier élevé, tandis que Lifestyle domine le segment occasionnel.</w:t>
      </w:r>
    </w:p>
    <w:p>
      <w:pPr>
        <w:pStyle w:val="ListBullet"/>
      </w:pPr>
      <w:r>
        <w:t>La performance marketing doit être lue avec plusieurs indicateurs : le taux de conversion mesure l’efficacité, tandis que CPC et CPA permettent d’évaluer le coût.</w:t>
      </w:r>
    </w:p>
    <w:p>
      <w:pPr>
        <w:pStyle w:val="ListBullet"/>
      </w:pPr>
      <w:r>
        <w:t>La stratégie personnalisée permet de relier directement segmentation, préférences et actions marketing.</w:t>
      </w:r>
    </w:p>
    <w:p>
      <w:pPr>
        <w:pStyle w:val="ListBullet"/>
      </w:pPr>
      <w:r>
        <w:t>Le module churn complète l’approche en ajoutant une logique de prévention : identifier les clients susceptibles de partir avant leur perte effective.</w:t>
      </w:r>
    </w:p>
    <w:p>
      <w:pPr>
        <w:pStyle w:val="Heading1"/>
      </w:pPr>
      <w:r>
        <w:t>7. Interprétation métier</w:t>
      </w:r>
    </w:p>
    <w:p>
      <w:r>
        <w:t>L’intérêt principal du dashboard est de relier plusieurs niveaux d’analyse. La segmentation permet d’identifier les profils, l’analyse comportementale explique leurs habitudes, l’analyse marketing mesure l’efficacité des canaux, la stratégie propose des actions adaptées et le churn ajoute une dimension prédictive orientée rétention. Le dashboard constitue ainsi une chaîne décisionnelle allant de la donnée brute vers l’action marketing.</w:t>
      </w:r>
    </w:p>
    <w:p>
      <w:pPr>
        <w:pStyle w:val="Heading1"/>
      </w:pPr>
      <w:r>
        <w:t>8. Points de vigilance pour le rapport</w:t>
      </w:r>
    </w:p>
    <w:p>
      <w:pPr>
        <w:pStyle w:val="ListBullet"/>
      </w:pPr>
      <w:r>
        <w:t>La segmentation officielle du dashboard utilise les trois segments métier ; les champs cluster_2 et cluster_3 sont des variables techniques et ne doivent pas être présentés comme la segmentation finale.</w:t>
      </w:r>
    </w:p>
    <w:p>
      <w:pPr>
        <w:pStyle w:val="ListBullet"/>
      </w:pPr>
      <w:r>
        <w:t>Le taux de conversion est calculé à partir des conversions et des clics ; il ne doit pas être confondu avec un ROI.</w:t>
      </w:r>
    </w:p>
    <w:p>
      <w:pPr>
        <w:pStyle w:val="ListBullet"/>
      </w:pPr>
      <w:r>
        <w:t>Le CPA dépend du budget et du nombre de conversions. Un canal performant doit donc être évalué avec plusieurs indicateurs et pas avec un seul chiffre.</w:t>
      </w:r>
    </w:p>
    <w:p>
      <w:pPr>
        <w:pStyle w:val="ListBullet"/>
      </w:pPr>
      <w:r>
        <w:t>La prédiction de churn représente une estimation issue du modèle et non une certitude sur le comportement futur d’un client.</w:t>
      </w:r>
    </w:p>
    <w:p>
      <w:pPr>
        <w:pStyle w:val="ListBullet"/>
      </w:pPr>
      <w:r>
        <w:t>Les recommandations marketing constituent une aide à la décision : elles doivent être interprétées avec le contexte commercial réel.</w:t>
      </w:r>
    </w:p>
    <w:p>
      <w:pPr>
        <w:pStyle w:val="Heading1"/>
      </w:pPr>
      <w:r>
        <w:t>9. Proposition de conclusion pour le rapport</w:t>
      </w:r>
    </w:p>
    <w:p>
      <w:r>
        <w:t>Le dashboard final permet de centraliser et de valoriser les résultats des différentes étapes du projet. En combinant segmentation, analyse du comportement d’achat, performance marketing, recommandations personnalisées et prédiction du churn, il fournit une vision cohérente de la clientèle et facilite l’identification des actions prioritaires. L’approche permet ainsi de passer d’une analyse descriptive à une aide à la décision marketing davantage personnalisée et orientée vers la fidélisation.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