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6174" w14:textId="3B07787A" w:rsidR="009F5FE4" w:rsidRPr="00C52B28" w:rsidRDefault="005833D1" w:rsidP="00525FA4">
      <w:pPr>
        <w:pStyle w:val="Heading1"/>
      </w:pPr>
      <w:r w:rsidRPr="00C52B28">
        <w:t>RESULTS</w:t>
      </w:r>
    </w:p>
    <w:p w14:paraId="757C8FC0" w14:textId="77777777" w:rsidR="005833D1" w:rsidRPr="00C52B28" w:rsidRDefault="005833D1">
      <w:pPr>
        <w:rPr>
          <w:rFonts w:cstheme="minorHAnsi"/>
        </w:rPr>
      </w:pPr>
    </w:p>
    <w:p w14:paraId="0F51F91E" w14:textId="443C51AC" w:rsidR="005833D1" w:rsidRPr="00C52B28" w:rsidRDefault="006B50D0" w:rsidP="00C52B28">
      <w:pPr>
        <w:pStyle w:val="Heading2"/>
        <w:numPr>
          <w:ilvl w:val="0"/>
          <w:numId w:val="3"/>
        </w:numPr>
      </w:pPr>
      <w:r>
        <w:t>MICROCLIMATIC</w:t>
      </w:r>
      <w:r w:rsidR="00F27953" w:rsidRPr="00C52B28">
        <w:t xml:space="preserve"> CONDITIONS IN SCOTT BASE</w:t>
      </w:r>
    </w:p>
    <w:p w14:paraId="3543F1AE" w14:textId="7EB74CDB" w:rsidR="00525FA4" w:rsidRPr="00C52B28" w:rsidRDefault="00525FA4" w:rsidP="00525FA4"/>
    <w:p w14:paraId="4B7CC840" w14:textId="77777777" w:rsidR="008A782D" w:rsidRPr="00C52B28" w:rsidRDefault="008F5845" w:rsidP="004F07C0">
      <w:commentRangeStart w:id="0"/>
      <w:r w:rsidRPr="00C52B28">
        <w:t xml:space="preserve">The </w:t>
      </w:r>
      <w:commentRangeEnd w:id="0"/>
      <w:r w:rsidR="00183953" w:rsidRPr="00C52B28">
        <w:rPr>
          <w:rStyle w:val="CommentReference"/>
        </w:rPr>
        <w:commentReference w:id="0"/>
      </w:r>
      <w:r w:rsidRPr="00C52B28">
        <w:t xml:space="preserve">climate is Scott Base is governed by a marked </w:t>
      </w:r>
      <w:r w:rsidRPr="005975CB">
        <w:rPr>
          <w:b/>
          <w:bCs/>
        </w:rPr>
        <w:t>cyclical pattern</w:t>
      </w:r>
      <w:r w:rsidRPr="00C52B28">
        <w:t xml:space="preserve"> constant over the years (Fig. 1).</w:t>
      </w:r>
      <w:r w:rsidR="004F07C0" w:rsidRPr="00C52B28">
        <w:t xml:space="preserve"> </w:t>
      </w:r>
    </w:p>
    <w:p w14:paraId="64B52C7B" w14:textId="77777777" w:rsidR="008A782D" w:rsidRPr="00C52B28" w:rsidRDefault="008A782D" w:rsidP="004F07C0"/>
    <w:p w14:paraId="25674DCE" w14:textId="59161471" w:rsidR="004F07C0" w:rsidRPr="00C52B28" w:rsidRDefault="004F07C0" w:rsidP="004F07C0">
      <w:pPr>
        <w:rPr>
          <w:rFonts w:cstheme="minorHAnsi"/>
        </w:rPr>
      </w:pPr>
      <w:commentRangeStart w:id="1"/>
      <w:r w:rsidRPr="00C52B28">
        <w:rPr>
          <w:rFonts w:cstheme="minorHAnsi"/>
        </w:rPr>
        <w:t>Cryptogram</w:t>
      </w:r>
      <w:commentRangeEnd w:id="1"/>
      <w:r w:rsidR="00183953" w:rsidRPr="00C52B28">
        <w:rPr>
          <w:rStyle w:val="CommentReference"/>
        </w:rPr>
        <w:commentReference w:id="1"/>
      </w:r>
      <w:r w:rsidRPr="00C52B28">
        <w:rPr>
          <w:rFonts w:cstheme="minorHAnsi"/>
        </w:rPr>
        <w:t>s in Scott Base start receiving sunlight between the end of November and the beginning of December, when snow starts to melt (Fi</w:t>
      </w:r>
      <w:r w:rsidR="00893F5D" w:rsidRPr="00C52B28">
        <w:rPr>
          <w:rFonts w:cstheme="minorHAnsi"/>
        </w:rPr>
        <w:t xml:space="preserve">g. </w:t>
      </w:r>
      <w:r w:rsidRPr="00C52B28">
        <w:rPr>
          <w:rFonts w:cstheme="minorHAnsi"/>
        </w:rPr>
        <w:t>1).  Light is available until late February or early March in the following year (Fig</w:t>
      </w:r>
      <w:r w:rsidR="00893F5D" w:rsidRPr="00C52B28">
        <w:rPr>
          <w:rFonts w:cstheme="minorHAnsi"/>
        </w:rPr>
        <w:t>.</w:t>
      </w:r>
      <w:r w:rsidRPr="00C52B28">
        <w:rPr>
          <w:rFonts w:cstheme="minorHAnsi"/>
        </w:rPr>
        <w:t xml:space="preserve"> 1). During those three months</w:t>
      </w:r>
      <w:r w:rsidR="0099326F" w:rsidRPr="00C52B28">
        <w:rPr>
          <w:rFonts w:cstheme="minorHAnsi"/>
        </w:rPr>
        <w:t>,</w:t>
      </w:r>
      <w:r w:rsidRPr="00C52B28">
        <w:rPr>
          <w:rFonts w:cstheme="minorHAnsi"/>
        </w:rPr>
        <w:t xml:space="preserve"> PAR </w:t>
      </w:r>
      <w:r w:rsidR="00A80E11" w:rsidRPr="00C52B28">
        <w:rPr>
          <w:rFonts w:cstheme="minorHAnsi"/>
        </w:rPr>
        <w:t>follows a daily pattern</w:t>
      </w:r>
      <w:r w:rsidR="00893F5D" w:rsidRPr="00C52B28">
        <w:rPr>
          <w:rFonts w:cstheme="minorHAnsi"/>
        </w:rPr>
        <w:t xml:space="preserve"> in which</w:t>
      </w:r>
      <w:r w:rsidR="00F624AC" w:rsidRPr="00C52B28">
        <w:rPr>
          <w:rFonts w:cstheme="minorHAnsi"/>
        </w:rPr>
        <w:t xml:space="preserve"> </w:t>
      </w:r>
      <w:r w:rsidR="001F6C7A" w:rsidRPr="00C52B28">
        <w:rPr>
          <w:rFonts w:cstheme="minorHAnsi"/>
        </w:rPr>
        <w:t xml:space="preserve">at some points during the summer </w:t>
      </w:r>
      <w:r w:rsidR="003E67A0" w:rsidRPr="00C52B28">
        <w:rPr>
          <w:rFonts w:cstheme="minorHAnsi"/>
        </w:rPr>
        <w:t xml:space="preserve">there is </w:t>
      </w:r>
      <w:r w:rsidR="006218B2" w:rsidRPr="00C52B28">
        <w:rPr>
          <w:rFonts w:cstheme="minorHAnsi"/>
        </w:rPr>
        <w:t xml:space="preserve">photosynthetic </w:t>
      </w:r>
      <w:r w:rsidR="003E67A0" w:rsidRPr="00C52B28">
        <w:rPr>
          <w:rFonts w:cstheme="minorHAnsi"/>
        </w:rPr>
        <w:t xml:space="preserve">light available </w:t>
      </w:r>
      <w:r w:rsidR="00F624AC" w:rsidRPr="00C52B28">
        <w:rPr>
          <w:rFonts w:cstheme="minorHAnsi"/>
        </w:rPr>
        <w:t xml:space="preserve">all the time </w:t>
      </w:r>
      <w:r w:rsidR="00893F5D" w:rsidRPr="00C52B28">
        <w:rPr>
          <w:rFonts w:cstheme="minorHAnsi"/>
        </w:rPr>
        <w:t>throughout the day</w:t>
      </w:r>
      <w:r w:rsidR="00F624AC" w:rsidRPr="00C52B28">
        <w:rPr>
          <w:rFonts w:cstheme="minorHAnsi"/>
        </w:rPr>
        <w:t xml:space="preserve">, </w:t>
      </w:r>
      <w:r w:rsidR="0099326F" w:rsidRPr="00C52B28">
        <w:rPr>
          <w:rFonts w:cstheme="minorHAnsi"/>
        </w:rPr>
        <w:t xml:space="preserve">but </w:t>
      </w:r>
      <w:r w:rsidR="006218B2" w:rsidRPr="00C52B28">
        <w:rPr>
          <w:rFonts w:cstheme="minorHAnsi"/>
        </w:rPr>
        <w:t xml:space="preserve">its </w:t>
      </w:r>
      <w:r w:rsidR="0099326F" w:rsidRPr="00C52B28">
        <w:rPr>
          <w:rFonts w:cstheme="minorHAnsi"/>
        </w:rPr>
        <w:t>intensity</w:t>
      </w:r>
      <w:r w:rsidR="006218B2" w:rsidRPr="00C52B28">
        <w:rPr>
          <w:rFonts w:cstheme="minorHAnsi"/>
        </w:rPr>
        <w:t xml:space="preserve"> decreases </w:t>
      </w:r>
      <w:r w:rsidR="00893F5D" w:rsidRPr="00C52B28">
        <w:rPr>
          <w:rFonts w:cstheme="minorHAnsi"/>
        </w:rPr>
        <w:t>around noon</w:t>
      </w:r>
      <w:r w:rsidR="0009158A" w:rsidRPr="00C52B28">
        <w:rPr>
          <w:rFonts w:cstheme="minorHAnsi"/>
        </w:rPr>
        <w:t xml:space="preserve"> (Fig. </w:t>
      </w:r>
      <w:r w:rsidR="00893F5D" w:rsidRPr="00C52B28">
        <w:rPr>
          <w:rFonts w:cstheme="minorHAnsi"/>
        </w:rPr>
        <w:t>2</w:t>
      </w:r>
      <w:r w:rsidR="0009158A" w:rsidRPr="00C52B28">
        <w:rPr>
          <w:rFonts w:cstheme="minorHAnsi"/>
        </w:rPr>
        <w:t>)</w:t>
      </w:r>
      <w:r w:rsidR="008A782D" w:rsidRPr="00C52B28">
        <w:rPr>
          <w:rFonts w:cstheme="minorHAnsi"/>
        </w:rPr>
        <w:t>. The amount of PAR received varied across samples, but i</w:t>
      </w:r>
      <w:r w:rsidR="00922010" w:rsidRPr="00C52B28">
        <w:rPr>
          <w:rFonts w:cstheme="minorHAnsi"/>
        </w:rPr>
        <w:t xml:space="preserve">n average all the samples received a mean radiation of ~200 </w:t>
      </w:r>
      <w:r w:rsidR="00922010" w:rsidRPr="00C52B28">
        <w:rPr>
          <w:rFonts w:cstheme="minorHAnsi"/>
        </w:rPr>
        <w:sym w:font="Symbol" w:char="F06D"/>
      </w:r>
      <w:r w:rsidR="00922010" w:rsidRPr="00C52B28">
        <w:rPr>
          <w:rFonts w:cstheme="minorHAnsi"/>
        </w:rPr>
        <w:t>mol m</w:t>
      </w:r>
      <w:r w:rsidR="00922010" w:rsidRPr="00C52B28">
        <w:rPr>
          <w:rFonts w:cstheme="minorHAnsi"/>
          <w:vertAlign w:val="superscript"/>
        </w:rPr>
        <w:t>-2</w:t>
      </w:r>
      <w:r w:rsidR="00922010" w:rsidRPr="00C52B28">
        <w:rPr>
          <w:rFonts w:cstheme="minorHAnsi"/>
        </w:rPr>
        <w:t xml:space="preserve"> s</w:t>
      </w:r>
      <w:r w:rsidR="00922010" w:rsidRPr="00C52B28">
        <w:rPr>
          <w:rFonts w:cstheme="minorHAnsi"/>
          <w:vertAlign w:val="superscript"/>
        </w:rPr>
        <w:t>-1</w:t>
      </w:r>
      <w:r w:rsidR="00C52B28">
        <w:rPr>
          <w:rFonts w:cstheme="minorHAnsi"/>
        </w:rPr>
        <w:t xml:space="preserve">, </w:t>
      </w:r>
      <w:r w:rsidR="00C52B28" w:rsidRPr="00C52B28">
        <w:rPr>
          <w:rFonts w:cstheme="minorHAnsi"/>
        </w:rPr>
        <w:t xml:space="preserve">as seen in the data summarised in </w:t>
      </w:r>
      <w:r w:rsidR="00922010" w:rsidRPr="00C52B28">
        <w:rPr>
          <w:rFonts w:cstheme="minorHAnsi"/>
        </w:rPr>
        <w:t>Table 1</w:t>
      </w:r>
      <w:r w:rsidR="00C52B28" w:rsidRPr="00C52B28">
        <w:rPr>
          <w:rFonts w:cstheme="minorHAnsi"/>
        </w:rPr>
        <w:t xml:space="preserve">, </w:t>
      </w:r>
      <w:r w:rsidR="00922010" w:rsidRPr="00C52B28">
        <w:rPr>
          <w:rFonts w:cstheme="minorHAnsi"/>
        </w:rPr>
        <w:t xml:space="preserve">with maximum values of around 1500 </w:t>
      </w:r>
      <w:r w:rsidR="00922010" w:rsidRPr="00C52B28">
        <w:rPr>
          <w:rFonts w:cstheme="minorHAnsi"/>
        </w:rPr>
        <w:sym w:font="Symbol" w:char="F06D"/>
      </w:r>
      <w:r w:rsidR="00922010" w:rsidRPr="00C52B28">
        <w:rPr>
          <w:rFonts w:cstheme="minorHAnsi"/>
        </w:rPr>
        <w:t>mol m</w:t>
      </w:r>
      <w:r w:rsidR="00922010" w:rsidRPr="00C52B28">
        <w:rPr>
          <w:rFonts w:cstheme="minorHAnsi"/>
          <w:vertAlign w:val="superscript"/>
        </w:rPr>
        <w:t>-2</w:t>
      </w:r>
      <w:r w:rsidR="00922010" w:rsidRPr="00C52B28">
        <w:rPr>
          <w:rFonts w:cstheme="minorHAnsi"/>
        </w:rPr>
        <w:t xml:space="preserve"> s</w:t>
      </w:r>
      <w:r w:rsidR="00922010" w:rsidRPr="00C52B28">
        <w:rPr>
          <w:rFonts w:cstheme="minorHAnsi"/>
          <w:vertAlign w:val="superscript"/>
        </w:rPr>
        <w:t>-1</w:t>
      </w:r>
      <w:r w:rsidR="00922010" w:rsidRPr="00C52B28">
        <w:rPr>
          <w:rFonts w:cstheme="minorHAnsi"/>
          <w:vertAlign w:val="superscript"/>
        </w:rPr>
        <w:t xml:space="preserve"> </w:t>
      </w:r>
      <w:r w:rsidR="00922010" w:rsidRPr="00C52B28">
        <w:rPr>
          <w:rFonts w:cstheme="minorHAnsi"/>
        </w:rPr>
        <w:t xml:space="preserve">(Table 1). </w:t>
      </w:r>
    </w:p>
    <w:p w14:paraId="3A562173" w14:textId="4A4478DC" w:rsidR="00893F5D" w:rsidRPr="00C52B28" w:rsidRDefault="00893F5D" w:rsidP="004F07C0">
      <w:pPr>
        <w:rPr>
          <w:rFonts w:cstheme="minorHAnsi"/>
        </w:rPr>
      </w:pPr>
    </w:p>
    <w:p w14:paraId="6D587E26" w14:textId="6F279629" w:rsidR="00893F5D" w:rsidRPr="00C52B28" w:rsidRDefault="00893F5D" w:rsidP="00893F5D">
      <w:pPr>
        <w:ind w:left="-426" w:right="-188"/>
        <w:rPr>
          <w:rFonts w:cstheme="minorHAnsi"/>
        </w:rPr>
      </w:pPr>
      <w:r w:rsidRPr="00C52B28">
        <w:rPr>
          <w:rFonts w:cstheme="minorHAnsi"/>
          <w:noProof/>
        </w:rPr>
        <w:drawing>
          <wp:inline distT="0" distB="0" distL="0" distR="0" wp14:anchorId="5CB88F8A" wp14:editId="14D35E73">
            <wp:extent cx="6209414" cy="3750690"/>
            <wp:effectExtent l="0" t="0" r="1270" b="0"/>
            <wp:docPr id="1925333814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3814" name="Picture 3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418" cy="38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E69" w14:textId="63F816ED" w:rsidR="008F5845" w:rsidRPr="00C52B28" w:rsidRDefault="00893F5D" w:rsidP="00525FA4">
      <w:pPr>
        <w:rPr>
          <w:i/>
          <w:iCs/>
          <w:sz w:val="20"/>
          <w:szCs w:val="20"/>
        </w:rPr>
      </w:pPr>
      <w:r w:rsidRPr="00C52B28">
        <w:rPr>
          <w:i/>
          <w:iCs/>
          <w:sz w:val="20"/>
          <w:szCs w:val="20"/>
        </w:rPr>
        <w:t xml:space="preserve">Figure 1. </w:t>
      </w:r>
    </w:p>
    <w:p w14:paraId="39F3D3B9" w14:textId="77777777" w:rsidR="00893F5D" w:rsidRPr="00C52B28" w:rsidRDefault="00893F5D" w:rsidP="00525FA4"/>
    <w:p w14:paraId="6C408DC6" w14:textId="7C3EAD9D" w:rsidR="00893F5D" w:rsidRPr="00C52B28" w:rsidRDefault="005C5E1E" w:rsidP="00525FA4">
      <w:r w:rsidRPr="00C52B28">
        <w:rPr>
          <w:noProof/>
        </w:rPr>
        <w:lastRenderedPageBreak/>
        <w:drawing>
          <wp:inline distT="0" distB="0" distL="0" distR="0" wp14:anchorId="0B9747AA" wp14:editId="6D3DF788">
            <wp:extent cx="5731510" cy="2150110"/>
            <wp:effectExtent l="0" t="0" r="0" b="0"/>
            <wp:docPr id="1324605195" name="Picture 5" descr="A graph of a numbe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5195" name="Picture 5" descr="A graph of a number and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F46" w14:textId="7B35488C" w:rsidR="00893F5D" w:rsidRPr="00C52B28" w:rsidRDefault="00893F5D" w:rsidP="00922010">
      <w:pPr>
        <w:tabs>
          <w:tab w:val="left" w:pos="1250"/>
        </w:tabs>
      </w:pPr>
      <w:r w:rsidRPr="00C52B28">
        <w:rPr>
          <w:i/>
          <w:iCs/>
          <w:sz w:val="21"/>
          <w:szCs w:val="21"/>
        </w:rPr>
        <w:t>Figure 2</w:t>
      </w:r>
      <w:r w:rsidRPr="00C52B28">
        <w:t xml:space="preserve">. </w:t>
      </w:r>
      <w:r w:rsidR="00922010" w:rsidRPr="00C52B28">
        <w:tab/>
      </w:r>
    </w:p>
    <w:p w14:paraId="4A5C88F1" w14:textId="77777777" w:rsidR="00922010" w:rsidRPr="00C52B28" w:rsidRDefault="00922010" w:rsidP="00922010">
      <w:pPr>
        <w:tabs>
          <w:tab w:val="left" w:pos="1250"/>
        </w:tabs>
      </w:pPr>
    </w:p>
    <w:p w14:paraId="00C78D57" w14:textId="32F6CE9D" w:rsidR="0084657C" w:rsidRPr="00C52B28" w:rsidRDefault="00486172" w:rsidP="00525FA4">
      <w:pPr>
        <w:rPr>
          <w:rFonts w:cstheme="minorHAnsi"/>
        </w:rPr>
      </w:pPr>
      <w:commentRangeStart w:id="2"/>
      <w:r w:rsidRPr="00C52B28">
        <w:rPr>
          <w:rFonts w:cstheme="minorHAnsi"/>
        </w:rPr>
        <w:t>The</w:t>
      </w:r>
      <w:commentRangeEnd w:id="2"/>
      <w:r w:rsidR="00183953" w:rsidRPr="00C52B28">
        <w:rPr>
          <w:rStyle w:val="CommentReference"/>
        </w:rPr>
        <w:commentReference w:id="2"/>
      </w:r>
      <w:r w:rsidR="00631D08" w:rsidRPr="00C52B28">
        <w:rPr>
          <w:rFonts w:cstheme="minorHAnsi"/>
        </w:rPr>
        <w:t xml:space="preserve"> average air temperature</w:t>
      </w:r>
      <w:r w:rsidRPr="00C52B28">
        <w:rPr>
          <w:rFonts w:cstheme="minorHAnsi"/>
        </w:rPr>
        <w:t xml:space="preserve"> </w:t>
      </w:r>
      <w:r w:rsidR="009B4803" w:rsidRPr="00C52B28">
        <w:rPr>
          <w:rFonts w:cstheme="minorHAnsi"/>
        </w:rPr>
        <w:t xml:space="preserve">over the whole measuring period </w:t>
      </w:r>
      <w:r w:rsidRPr="00C52B28">
        <w:rPr>
          <w:rFonts w:cstheme="minorHAnsi"/>
        </w:rPr>
        <w:t>was</w:t>
      </w:r>
      <w:r w:rsidR="00631D08" w:rsidRPr="00C52B28">
        <w:rPr>
          <w:rFonts w:cstheme="minorHAnsi"/>
        </w:rPr>
        <w:t xml:space="preserve"> -17.4 </w:t>
      </w:r>
      <w:r w:rsidR="002543CF" w:rsidRPr="00C52B28">
        <w:rPr>
          <w:rFonts w:ascii="Symbol" w:hAnsi="Symbol" w:cstheme="minorHAnsi"/>
        </w:rPr>
        <w:sym w:font="Symbol" w:char="F0B0"/>
      </w:r>
      <w:r w:rsidR="00631D08" w:rsidRPr="00C52B28">
        <w:rPr>
          <w:rFonts w:cstheme="minorHAnsi"/>
        </w:rPr>
        <w:t>C</w:t>
      </w:r>
      <w:r w:rsidR="008A782D" w:rsidRPr="00C52B28">
        <w:rPr>
          <w:rFonts w:cstheme="minorHAnsi"/>
        </w:rPr>
        <w:t xml:space="preserve"> (Table 1)</w:t>
      </w:r>
      <w:r w:rsidR="00922010" w:rsidRPr="00C52B28">
        <w:rPr>
          <w:rFonts w:cstheme="minorHAnsi"/>
        </w:rPr>
        <w:t xml:space="preserve"> </w:t>
      </w:r>
      <w:r w:rsidR="008A782D" w:rsidRPr="00C52B28">
        <w:rPr>
          <w:rFonts w:cstheme="minorHAnsi"/>
        </w:rPr>
        <w:t xml:space="preserve">and values over 0 </w:t>
      </w:r>
      <w:r w:rsidR="008A782D" w:rsidRPr="00C52B28">
        <w:rPr>
          <w:rFonts w:ascii="Symbol" w:hAnsi="Symbol" w:cstheme="minorHAnsi"/>
        </w:rPr>
        <w:sym w:font="Symbol" w:char="F0B0"/>
      </w:r>
      <w:r w:rsidR="008A782D" w:rsidRPr="00C52B28">
        <w:rPr>
          <w:rFonts w:cstheme="minorHAnsi"/>
        </w:rPr>
        <w:t>C</w:t>
      </w:r>
      <w:r w:rsidR="008A782D" w:rsidRPr="00C52B28">
        <w:rPr>
          <w:rFonts w:cstheme="minorHAnsi"/>
        </w:rPr>
        <w:t xml:space="preserve"> where only recorded in the summer months </w:t>
      </w:r>
      <w:r w:rsidR="008A782D" w:rsidRPr="00C52B28">
        <w:rPr>
          <w:rFonts w:cstheme="minorHAnsi"/>
        </w:rPr>
        <w:t>– defining as summer the period from the beginning of November until the end of February</w:t>
      </w:r>
      <w:r w:rsidR="00922010" w:rsidRPr="00C52B28">
        <w:rPr>
          <w:rFonts w:cstheme="minorHAnsi"/>
        </w:rPr>
        <w:t xml:space="preserve"> (Fig. 1)</w:t>
      </w:r>
      <w:r w:rsidR="00992CC3" w:rsidRPr="00C52B28">
        <w:rPr>
          <w:rFonts w:cstheme="minorHAnsi"/>
        </w:rPr>
        <w:t xml:space="preserve">. This </w:t>
      </w:r>
      <w:r w:rsidR="008A782D" w:rsidRPr="00C52B28">
        <w:rPr>
          <w:rFonts w:cstheme="minorHAnsi"/>
        </w:rPr>
        <w:t>generated</w:t>
      </w:r>
      <w:r w:rsidR="00F3589B" w:rsidRPr="00C52B28">
        <w:rPr>
          <w:rFonts w:cstheme="minorHAnsi"/>
        </w:rPr>
        <w:t xml:space="preserve"> a </w:t>
      </w:r>
      <w:r w:rsidR="00B42BE0" w:rsidRPr="00C52B28">
        <w:rPr>
          <w:rFonts w:cstheme="minorHAnsi"/>
        </w:rPr>
        <w:t>contrast</w:t>
      </w:r>
      <w:r w:rsidR="00BC453A" w:rsidRPr="00C52B28">
        <w:rPr>
          <w:rFonts w:cstheme="minorHAnsi"/>
        </w:rPr>
        <w:t xml:space="preserve"> of </w:t>
      </w:r>
      <w:r w:rsidR="008A782D" w:rsidRPr="00C52B28">
        <w:rPr>
          <w:rFonts w:cstheme="minorHAnsi"/>
        </w:rPr>
        <w:t xml:space="preserve">almost </w:t>
      </w:r>
      <w:r w:rsidR="00872C77" w:rsidRPr="00C52B28">
        <w:rPr>
          <w:rFonts w:cstheme="minorHAnsi"/>
        </w:rPr>
        <w:t>11 degrees</w:t>
      </w:r>
      <w:r w:rsidR="00B42BE0" w:rsidRPr="00C52B28">
        <w:rPr>
          <w:rFonts w:cstheme="minorHAnsi"/>
        </w:rPr>
        <w:t xml:space="preserve"> </w:t>
      </w:r>
      <w:r w:rsidR="008A782D" w:rsidRPr="00C52B28">
        <w:rPr>
          <w:rFonts w:cstheme="minorHAnsi"/>
        </w:rPr>
        <w:t>between the overall mean and</w:t>
      </w:r>
      <w:r w:rsidR="00B42BE0" w:rsidRPr="00C52B28">
        <w:rPr>
          <w:rFonts w:cstheme="minorHAnsi"/>
        </w:rPr>
        <w:t xml:space="preserve"> the summer </w:t>
      </w:r>
      <w:r w:rsidR="00872C77" w:rsidRPr="00C52B28">
        <w:rPr>
          <w:rFonts w:cstheme="minorHAnsi"/>
        </w:rPr>
        <w:t>mean</w:t>
      </w:r>
      <w:r w:rsidR="008A782D" w:rsidRPr="00C52B28">
        <w:rPr>
          <w:rFonts w:cstheme="minorHAnsi"/>
        </w:rPr>
        <w:t xml:space="preserve"> </w:t>
      </w:r>
      <w:r w:rsidR="00BC453A" w:rsidRPr="00C52B28">
        <w:rPr>
          <w:rFonts w:cstheme="minorHAnsi"/>
        </w:rPr>
        <w:t xml:space="preserve">that was </w:t>
      </w:r>
      <w:r w:rsidR="002A46C8" w:rsidRPr="00C52B28">
        <w:rPr>
          <w:rFonts w:cstheme="minorHAnsi"/>
        </w:rPr>
        <w:t>-</w:t>
      </w:r>
      <w:r w:rsidR="00BC453A" w:rsidRPr="00C52B28">
        <w:rPr>
          <w:rFonts w:cstheme="minorHAnsi"/>
        </w:rPr>
        <w:t xml:space="preserve">6.73 </w:t>
      </w:r>
      <w:r w:rsidR="00872C77" w:rsidRPr="00C52B28">
        <w:rPr>
          <w:rFonts w:ascii="Symbol" w:hAnsi="Symbol" w:cstheme="minorHAnsi"/>
        </w:rPr>
        <w:sym w:font="Symbol" w:char="F0B0"/>
      </w:r>
      <w:r w:rsidR="00872C77" w:rsidRPr="00C52B28">
        <w:rPr>
          <w:rFonts w:cstheme="minorHAnsi"/>
        </w:rPr>
        <w:t xml:space="preserve">C </w:t>
      </w:r>
      <w:r w:rsidR="008A782D" w:rsidRPr="00C52B28">
        <w:rPr>
          <w:rFonts w:cstheme="minorHAnsi"/>
        </w:rPr>
        <w:t>in average</w:t>
      </w:r>
      <w:r w:rsidR="00872C77" w:rsidRPr="00C52B28">
        <w:rPr>
          <w:rFonts w:cstheme="minorHAnsi"/>
        </w:rPr>
        <w:t xml:space="preserve"> </w:t>
      </w:r>
      <w:r w:rsidR="00126B24" w:rsidRPr="00C52B28">
        <w:rPr>
          <w:rFonts w:cstheme="minorHAnsi"/>
        </w:rPr>
        <w:t>across</w:t>
      </w:r>
      <w:r w:rsidR="00872C77" w:rsidRPr="00C52B28">
        <w:rPr>
          <w:rFonts w:cstheme="minorHAnsi"/>
        </w:rPr>
        <w:t xml:space="preserve"> all years</w:t>
      </w:r>
      <w:r w:rsidR="00E055C7" w:rsidRPr="00C52B28">
        <w:rPr>
          <w:rFonts w:cstheme="minorHAnsi"/>
        </w:rPr>
        <w:t xml:space="preserve"> </w:t>
      </w:r>
      <w:r w:rsidR="00872C77" w:rsidRPr="00C52B28">
        <w:rPr>
          <w:rFonts w:cstheme="minorHAnsi"/>
        </w:rPr>
        <w:t>(Table 1</w:t>
      </w:r>
      <w:r w:rsidR="00E055C7" w:rsidRPr="00C52B28">
        <w:rPr>
          <w:rFonts w:cstheme="minorHAnsi"/>
        </w:rPr>
        <w:t>).</w:t>
      </w:r>
      <w:r w:rsidR="005814AA" w:rsidRPr="00C52B28">
        <w:rPr>
          <w:rFonts w:cstheme="minorHAnsi"/>
        </w:rPr>
        <w:t xml:space="preserve"> </w:t>
      </w:r>
      <w:r w:rsidR="000A1F75" w:rsidRPr="00C52B28">
        <w:rPr>
          <w:rFonts w:cstheme="minorHAnsi"/>
        </w:rPr>
        <w:t>The</w:t>
      </w:r>
      <w:r w:rsidR="00F6109C" w:rsidRPr="00C52B28">
        <w:rPr>
          <w:rFonts w:cstheme="minorHAnsi"/>
        </w:rPr>
        <w:t xml:space="preserve"> minimum </w:t>
      </w:r>
      <w:r w:rsidR="005975CB">
        <w:rPr>
          <w:rFonts w:cstheme="minorHAnsi"/>
        </w:rPr>
        <w:t xml:space="preserve">air </w:t>
      </w:r>
      <w:r w:rsidR="00E055C7" w:rsidRPr="00C52B28">
        <w:rPr>
          <w:rFonts w:cstheme="minorHAnsi"/>
        </w:rPr>
        <w:t>temperature</w:t>
      </w:r>
      <w:r w:rsidR="00605DAC" w:rsidRPr="00C52B28">
        <w:rPr>
          <w:rFonts w:cstheme="minorHAnsi"/>
        </w:rPr>
        <w:t xml:space="preserve"> </w:t>
      </w:r>
      <w:r w:rsidR="00CD271B" w:rsidRPr="00C52B28">
        <w:rPr>
          <w:rFonts w:cstheme="minorHAnsi"/>
        </w:rPr>
        <w:t xml:space="preserve">recorded was reached </w:t>
      </w:r>
      <w:r w:rsidR="002F080E" w:rsidRPr="00C52B28">
        <w:rPr>
          <w:rFonts w:cstheme="minorHAnsi"/>
        </w:rPr>
        <w:t xml:space="preserve">in August 2021, </w:t>
      </w:r>
      <w:r w:rsidR="00CD271B" w:rsidRPr="00C52B28">
        <w:rPr>
          <w:rFonts w:cstheme="minorHAnsi"/>
        </w:rPr>
        <w:t>and was</w:t>
      </w:r>
      <w:r w:rsidR="000A1F75" w:rsidRPr="00C52B28">
        <w:rPr>
          <w:rFonts w:cstheme="minorHAnsi"/>
        </w:rPr>
        <w:t xml:space="preserve"> -53.4 </w:t>
      </w:r>
      <w:r w:rsidR="000A1F75" w:rsidRPr="00C52B28">
        <w:rPr>
          <w:rFonts w:ascii="Symbol" w:hAnsi="Symbol" w:cstheme="minorHAnsi"/>
        </w:rPr>
        <w:sym w:font="Symbol" w:char="F0B0"/>
      </w:r>
      <w:r w:rsidR="000A1F75" w:rsidRPr="00C52B28">
        <w:rPr>
          <w:rFonts w:cstheme="minorHAnsi"/>
        </w:rPr>
        <w:t>C</w:t>
      </w:r>
      <w:r w:rsidR="005814AA" w:rsidRPr="00C52B28">
        <w:rPr>
          <w:rFonts w:cstheme="minorHAnsi"/>
        </w:rPr>
        <w:t>,</w:t>
      </w:r>
      <w:r w:rsidR="000A1F75" w:rsidRPr="00C52B28">
        <w:rPr>
          <w:rFonts w:cstheme="minorHAnsi"/>
        </w:rPr>
        <w:t xml:space="preserve"> and the maximum</w:t>
      </w:r>
      <w:r w:rsidR="002F080E" w:rsidRPr="00C52B28">
        <w:rPr>
          <w:rFonts w:cstheme="minorHAnsi"/>
        </w:rPr>
        <w:t xml:space="preserve">, </w:t>
      </w:r>
      <w:r w:rsidR="00F527A4" w:rsidRPr="00C52B28">
        <w:rPr>
          <w:rFonts w:cstheme="minorHAnsi"/>
        </w:rPr>
        <w:t xml:space="preserve">documented </w:t>
      </w:r>
      <w:r w:rsidR="002F080E" w:rsidRPr="00C52B28">
        <w:rPr>
          <w:rFonts w:cstheme="minorHAnsi"/>
        </w:rPr>
        <w:t>in December of 2022,</w:t>
      </w:r>
      <w:r w:rsidR="000A1F75" w:rsidRPr="00C52B28">
        <w:rPr>
          <w:rFonts w:cstheme="minorHAnsi"/>
        </w:rPr>
        <w:t xml:space="preserve"> </w:t>
      </w:r>
      <w:r w:rsidR="00525FA4" w:rsidRPr="00C52B28">
        <w:rPr>
          <w:rFonts w:cstheme="minorHAnsi"/>
        </w:rPr>
        <w:t xml:space="preserve">6.45 </w:t>
      </w:r>
      <w:r w:rsidR="00525FA4" w:rsidRPr="00C52B28">
        <w:rPr>
          <w:rFonts w:ascii="Symbol" w:hAnsi="Symbol" w:cstheme="minorHAnsi"/>
        </w:rPr>
        <w:sym w:font="Symbol" w:char="F0B0"/>
      </w:r>
      <w:r w:rsidR="00525FA4" w:rsidRPr="00C52B28">
        <w:rPr>
          <w:rFonts w:cstheme="minorHAnsi"/>
        </w:rPr>
        <w:t>C</w:t>
      </w:r>
      <w:r w:rsidR="00F6109C" w:rsidRPr="00C52B28">
        <w:rPr>
          <w:rFonts w:cstheme="minorHAnsi"/>
        </w:rPr>
        <w:t xml:space="preserve"> </w:t>
      </w:r>
      <w:r w:rsidRPr="00C52B28">
        <w:rPr>
          <w:rFonts w:cstheme="minorHAnsi"/>
        </w:rPr>
        <w:t>(Table 1)</w:t>
      </w:r>
      <w:r w:rsidR="00525FA4" w:rsidRPr="00C52B28">
        <w:rPr>
          <w:rFonts w:cstheme="minorHAnsi"/>
        </w:rPr>
        <w:t>.</w:t>
      </w:r>
      <w:r w:rsidR="00BD383D" w:rsidRPr="00C52B28">
        <w:rPr>
          <w:rFonts w:cstheme="minorHAnsi"/>
        </w:rPr>
        <w:t xml:space="preserve"> </w:t>
      </w:r>
      <w:r w:rsidR="00922010" w:rsidRPr="00C52B28">
        <w:rPr>
          <w:rFonts w:cstheme="minorHAnsi"/>
        </w:rPr>
        <w:t xml:space="preserve">The minimum temperature during a summer season was – </w:t>
      </w:r>
      <w:r w:rsidR="00183953" w:rsidRPr="00C52B28">
        <w:rPr>
          <w:rFonts w:cstheme="minorHAnsi"/>
        </w:rPr>
        <w:t>28.9</w:t>
      </w:r>
      <w:r w:rsidR="00922010" w:rsidRPr="00C52B28">
        <w:rPr>
          <w:rFonts w:cstheme="minorHAnsi"/>
        </w:rPr>
        <w:t xml:space="preserve"> </w:t>
      </w:r>
      <w:r w:rsidR="00922010" w:rsidRPr="00C52B28">
        <w:rPr>
          <w:rFonts w:ascii="Symbol" w:hAnsi="Symbol" w:cstheme="minorHAnsi"/>
        </w:rPr>
        <w:sym w:font="Symbol" w:char="F0B0"/>
      </w:r>
      <w:r w:rsidR="00183953" w:rsidRPr="00C52B28">
        <w:rPr>
          <w:rFonts w:cstheme="minorHAnsi"/>
        </w:rPr>
        <w:t>C and</w:t>
      </w:r>
      <w:r w:rsidR="00922010" w:rsidRPr="00C52B28">
        <w:rPr>
          <w:rFonts w:cstheme="minorHAnsi"/>
        </w:rPr>
        <w:t xml:space="preserve"> it was recorded in </w:t>
      </w:r>
      <w:r w:rsidR="00183953" w:rsidRPr="00C52B28">
        <w:rPr>
          <w:rFonts w:cstheme="minorHAnsi"/>
        </w:rPr>
        <w:t>November 2022 (Table 2).</w:t>
      </w:r>
    </w:p>
    <w:p w14:paraId="37B341AF" w14:textId="77777777" w:rsidR="00230914" w:rsidRPr="00C52B28" w:rsidRDefault="00230914" w:rsidP="00525FA4">
      <w:pPr>
        <w:rPr>
          <w:rFonts w:cstheme="minorHAnsi"/>
        </w:rPr>
      </w:pPr>
    </w:p>
    <w:p w14:paraId="22F79600" w14:textId="53C75B41" w:rsidR="002A46C8" w:rsidRPr="00C52B28" w:rsidRDefault="002A46C8" w:rsidP="00525FA4">
      <w:pPr>
        <w:rPr>
          <w:rFonts w:cstheme="minorHAnsi"/>
          <w:i/>
          <w:iCs/>
          <w:sz w:val="21"/>
          <w:szCs w:val="21"/>
        </w:rPr>
      </w:pPr>
      <w:r w:rsidRPr="00C52B28">
        <w:rPr>
          <w:rFonts w:cstheme="minorHAnsi"/>
          <w:i/>
          <w:iCs/>
          <w:sz w:val="21"/>
          <w:szCs w:val="21"/>
        </w:rPr>
        <w:t xml:space="preserve">Table 1. </w:t>
      </w:r>
    </w:p>
    <w:p w14:paraId="566F4F2A" w14:textId="327D4952" w:rsidR="002A46C8" w:rsidRPr="00C52B28" w:rsidRDefault="002A46C8" w:rsidP="00525FA4">
      <w:pPr>
        <w:rPr>
          <w:rFonts w:cstheme="minorHAnsi"/>
        </w:rPr>
      </w:pPr>
      <w:r w:rsidRPr="00C52B28">
        <w:rPr>
          <w:rFonts w:cstheme="minorHAnsi"/>
        </w:rPr>
        <w:drawing>
          <wp:inline distT="0" distB="0" distL="0" distR="0" wp14:anchorId="0B728D82" wp14:editId="37F835B7">
            <wp:extent cx="5731510" cy="3063875"/>
            <wp:effectExtent l="0" t="0" r="0" b="0"/>
            <wp:docPr id="94980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9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323E" w14:textId="77777777" w:rsidR="002A46C8" w:rsidRPr="00C52B28" w:rsidRDefault="002A46C8" w:rsidP="00525FA4">
      <w:pPr>
        <w:rPr>
          <w:rFonts w:cstheme="minorHAnsi"/>
        </w:rPr>
      </w:pPr>
    </w:p>
    <w:p w14:paraId="1A0373A6" w14:textId="5CE85A95" w:rsidR="00525FA4" w:rsidRPr="00C52B28" w:rsidRDefault="002A46C8" w:rsidP="00525FA4">
      <w:pPr>
        <w:rPr>
          <w:rFonts w:cstheme="minorHAnsi"/>
        </w:rPr>
      </w:pPr>
      <w:commentRangeStart w:id="3"/>
      <w:r w:rsidRPr="00C52B28">
        <w:rPr>
          <w:rFonts w:cstheme="minorHAnsi"/>
        </w:rPr>
        <w:t>RH</w:t>
      </w:r>
      <w:commentRangeEnd w:id="3"/>
      <w:r w:rsidR="00C17050" w:rsidRPr="00C52B28">
        <w:rPr>
          <w:rStyle w:val="CommentReference"/>
        </w:rPr>
        <w:commentReference w:id="3"/>
      </w:r>
      <w:r w:rsidRPr="00C52B28">
        <w:rPr>
          <w:rFonts w:cstheme="minorHAnsi"/>
        </w:rPr>
        <w:t xml:space="preserve"> had an average value of 67.5% over the whole measuring period (Table 1), nearly identical to the 67.2% average over the summer months (Table 2).</w:t>
      </w:r>
      <w:r w:rsidR="00343CE6" w:rsidRPr="00C52B28">
        <w:rPr>
          <w:rFonts w:cstheme="minorHAnsi"/>
        </w:rPr>
        <w:t xml:space="preserve"> It did not show any seasonal variation (Figure 1).</w:t>
      </w:r>
    </w:p>
    <w:p w14:paraId="69925A58" w14:textId="77777777" w:rsidR="002A46C8" w:rsidRPr="00C52B28" w:rsidRDefault="002A46C8" w:rsidP="00525FA4">
      <w:pPr>
        <w:rPr>
          <w:rFonts w:cstheme="minorHAnsi"/>
        </w:rPr>
      </w:pPr>
    </w:p>
    <w:p w14:paraId="38E32E4A" w14:textId="6FAF773B" w:rsidR="002A46C8" w:rsidRPr="00C52B28" w:rsidRDefault="002A46C8" w:rsidP="00343CE6">
      <w:pPr>
        <w:rPr>
          <w:rFonts w:cstheme="minorHAnsi"/>
        </w:rPr>
      </w:pPr>
      <w:commentRangeStart w:id="4"/>
      <w:r w:rsidRPr="00C52B28">
        <w:rPr>
          <w:rFonts w:cstheme="minorHAnsi"/>
        </w:rPr>
        <w:t xml:space="preserve">All </w:t>
      </w:r>
      <w:commentRangeEnd w:id="4"/>
      <w:r w:rsidR="00C17050" w:rsidRPr="00C52B28">
        <w:rPr>
          <w:rStyle w:val="CommentReference"/>
        </w:rPr>
        <w:commentReference w:id="4"/>
      </w:r>
      <w:r w:rsidRPr="00C52B28">
        <w:rPr>
          <w:rFonts w:cstheme="minorHAnsi"/>
        </w:rPr>
        <w:t>of these variables remained constant over time, and there was no clear increasing or decreasing trend over time in any of them (Figure 1, Table 2).</w:t>
      </w:r>
    </w:p>
    <w:p w14:paraId="0BAA43A2" w14:textId="49FCCFCB" w:rsidR="00EB34A4" w:rsidRPr="00C52B28" w:rsidRDefault="003D7FE0" w:rsidP="00343CE6">
      <w:pPr>
        <w:rPr>
          <w:rFonts w:cstheme="minorHAnsi"/>
        </w:rPr>
      </w:pPr>
      <w:commentRangeStart w:id="5"/>
      <w:r w:rsidRPr="00C52B28">
        <w:rPr>
          <w:rFonts w:cstheme="minorHAnsi"/>
        </w:rPr>
        <w:lastRenderedPageBreak/>
        <w:t xml:space="preserve">There </w:t>
      </w:r>
      <w:commentRangeEnd w:id="5"/>
      <w:r w:rsidR="00C27E9F" w:rsidRPr="00C52B28">
        <w:rPr>
          <w:rStyle w:val="CommentReference"/>
        </w:rPr>
        <w:commentReference w:id="5"/>
      </w:r>
      <w:r w:rsidRPr="00C52B28">
        <w:rPr>
          <w:rFonts w:cstheme="minorHAnsi"/>
        </w:rPr>
        <w:t xml:space="preserve">were no anomalies </w:t>
      </w:r>
      <w:r w:rsidR="00C27E9F" w:rsidRPr="00C52B28">
        <w:rPr>
          <w:rFonts w:cstheme="minorHAnsi"/>
        </w:rPr>
        <w:t>in any of our variables</w:t>
      </w:r>
      <w:r w:rsidRPr="00C52B28">
        <w:rPr>
          <w:rFonts w:cstheme="minorHAnsi"/>
        </w:rPr>
        <w:t xml:space="preserve"> recorded during the heatwave from the</w:t>
      </w:r>
      <w:r w:rsidR="00C27E9F" w:rsidRPr="00C52B28">
        <w:rPr>
          <w:rFonts w:cstheme="minorHAnsi"/>
        </w:rPr>
        <w:t xml:space="preserve"> 15</w:t>
      </w:r>
      <w:r w:rsidR="00C27E9F" w:rsidRPr="00C52B28">
        <w:rPr>
          <w:rFonts w:cstheme="minorHAnsi"/>
          <w:vertAlign w:val="superscript"/>
        </w:rPr>
        <w:t>th</w:t>
      </w:r>
      <w:r w:rsidR="00C27E9F" w:rsidRPr="00C52B28">
        <w:rPr>
          <w:rFonts w:cstheme="minorHAnsi"/>
        </w:rPr>
        <w:t xml:space="preserve"> to the 19</w:t>
      </w:r>
      <w:r w:rsidR="00C27E9F" w:rsidRPr="00C52B28">
        <w:rPr>
          <w:rFonts w:cstheme="minorHAnsi"/>
          <w:vertAlign w:val="superscript"/>
        </w:rPr>
        <w:t>th</w:t>
      </w:r>
      <w:r w:rsidR="00C27E9F" w:rsidRPr="00C52B28">
        <w:rPr>
          <w:rFonts w:cstheme="minorHAnsi"/>
        </w:rPr>
        <w:t xml:space="preserve"> of March 2023 (Figure 1). </w:t>
      </w:r>
    </w:p>
    <w:p w14:paraId="73ADD0E5" w14:textId="77777777" w:rsidR="00C17050" w:rsidRDefault="00E26C16" w:rsidP="00C17050">
      <w:pPr>
        <w:jc w:val="center"/>
        <w:rPr>
          <w:lang w:val="en-US"/>
        </w:rPr>
      </w:pPr>
      <w:r>
        <w:rPr>
          <w:rFonts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F7301" wp14:editId="68535F7B">
                <wp:simplePos x="0" y="0"/>
                <wp:positionH relativeFrom="column">
                  <wp:posOffset>-1973713</wp:posOffset>
                </wp:positionH>
                <wp:positionV relativeFrom="paragraph">
                  <wp:posOffset>6015355</wp:posOffset>
                </wp:positionV>
                <wp:extent cx="5457524" cy="471638"/>
                <wp:effectExtent l="0" t="0" r="0" b="0"/>
                <wp:wrapNone/>
                <wp:docPr id="81008198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57524" cy="471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D010F" w14:textId="3CCDFCB7" w:rsidR="00E26C16" w:rsidRPr="00E26C16" w:rsidRDefault="00E26C16">
                            <w:pPr>
                              <w:rPr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6C16">
                              <w:rPr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  <w:t xml:space="preserve">Table 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F73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55.4pt;margin-top:473.65pt;width:429.75pt;height:37.1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FzUHQIAADsEAAAOAAAAZHJzL2Uyb0RvYy54bWysU8Fu2zAMvQ/YPwi6L47TJG2NOEXWIsOA&#13;&#10;oi2QDj0rshQbkERNUmJnXz9KdtKg22mYDgJFEo/ke9TirtOKHITzDZiS5qMxJcJwqBqzK+mP1/WX&#13;&#10;G0p8YKZiCowo6VF4erf8/GnR2kJMoAZVCUcQxPiitSWtQ7BFlnleC838CKwwGJTgNAv4dLuscqxF&#13;&#10;dK2yyXg8z1pwlXXAhffofeiDdJnwpRQ8PEvpRSCqpNhbSLdL9zbe2XLBip1jtm740Ab7hy40awwW&#13;&#10;PUM9sMDI3jV/QOmGO/Agw4iDzkDKhos0A06Tjz9Ms6mZFWkWJMfbM03+/8Hyp8PGvjgSuq/QoYCR&#13;&#10;kNb6wqMzztNJp4kD5C2fI9940pjYOMF0ZPR4ZlF0gXB0zqaz69lkSgnH2PQ6n1/dRNSsB4ug1vnw&#13;&#10;TYAm0SipQ5USKjs8+tCnnlJiuoF1o1RSShnSlnR+NevbOEcQXBms8d56tEK37YZ5tlAdccw0CXbt&#13;&#10;LV83WPyR+fDCHEqOTlzj8IyXVIBFYLAoqcH9+ps/5qMSGKWkxRUqqf+5Z05Qor4b1Og2n07jzqUH&#13;&#10;kjLBh7uMbC8jZq/vAbc0T90lM+YHdTKlA/2G276KVTHEDMfaJQ0n8z70i42/hYvVKiXhllkWHs3G&#13;&#10;8gh9Yv+1e2PODvwHVO4JTsvGig8y9Lm9EKt9ANkkjSLBPasD77ihSeXhN8UvcPlOWe9/fvkbAAD/&#13;&#10;/wMAUEsDBBQABgAIAAAAIQDrUEt65gAAABABAAAPAAAAZHJzL2Rvd25yZXYueG1sTI9BT8MwDIXv&#13;&#10;SPyHyEjcWJqqHaVrOk0gNHHgQJk0jmlj2kKTVE22dfx6vBNcLFu23/tesZ7NwI44+d5ZCWIRAUPb&#13;&#10;ON3bVsLu/fkuA+aDsloNzqKEM3pYl9dXhcq1O9k3PFahZSRifa4kdCGMOee+6dAov3AjWtp9usmo&#13;&#10;QOPUcj2pE4mbgcdRtORG9ZYcOjXiY4fNd3UwEr6Mrx+yHxT7zfZs4tfqY3zZOilvb+anFZXNCljA&#13;&#10;Ofx9wCUD8UNJYLU7WO3ZICEThB8kpGlyD+xykC4FsJqaRCQx8LLg/4OUvwAAAP//AwBQSwECLQAU&#13;&#10;AAYACAAAACEAtoM4kv4AAADhAQAAEwAAAAAAAAAAAAAAAAAAAAAAW0NvbnRlbnRfVHlwZXNdLnht&#13;&#10;bFBLAQItABQABgAIAAAAIQA4/SH/1gAAAJQBAAALAAAAAAAAAAAAAAAAAC8BAABfcmVscy8ucmVs&#13;&#10;c1BLAQItABQABgAIAAAAIQA+LFzUHQIAADsEAAAOAAAAAAAAAAAAAAAAAC4CAABkcnMvZTJvRG9j&#13;&#10;LnhtbFBLAQItABQABgAIAAAAIQDrUEt65gAAABABAAAPAAAAAAAAAAAAAAAAAHcEAABkcnMvZG93&#13;&#10;bnJldi54bWxQSwUGAAAAAAQABADzAAAAigUAAAAA&#13;&#10;" filled="f" stroked="f" strokeweight=".5pt">
                <v:textbox>
                  <w:txbxContent>
                    <w:p w14:paraId="03ED010F" w14:textId="3CCDFCB7" w:rsidR="00E26C16" w:rsidRPr="00E26C16" w:rsidRDefault="00E26C16">
                      <w:pPr>
                        <w:rPr>
                          <w:i/>
                          <w:iCs/>
                          <w:sz w:val="21"/>
                          <w:szCs w:val="21"/>
                          <w:lang w:val="en-US"/>
                        </w:rPr>
                      </w:pPr>
                      <w:r w:rsidRPr="00E26C16">
                        <w:rPr>
                          <w:i/>
                          <w:iCs/>
                          <w:sz w:val="21"/>
                          <w:szCs w:val="21"/>
                          <w:lang w:val="en-US"/>
                        </w:rPr>
                        <w:t xml:space="preserve">Table 2. </w:t>
                      </w:r>
                    </w:p>
                  </w:txbxContent>
                </v:textbox>
              </v:shape>
            </w:pict>
          </mc:Fallback>
        </mc:AlternateContent>
      </w:r>
      <w:r w:rsidRPr="00E26C16">
        <w:rPr>
          <w:rFonts w:cstheme="minorHAnsi"/>
          <w:lang w:val="en-US"/>
        </w:rPr>
        <w:drawing>
          <wp:inline distT="0" distB="0" distL="0" distR="0" wp14:anchorId="1FD39A2F" wp14:editId="23F5836F">
            <wp:extent cx="9053613" cy="3879833"/>
            <wp:effectExtent l="0" t="3810" r="0" b="0"/>
            <wp:docPr id="7233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2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5523" cy="39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C56" w14:textId="10A82D7B" w:rsidR="00317112" w:rsidRDefault="00896A67" w:rsidP="00C52B28">
      <w:pPr>
        <w:pStyle w:val="Heading2"/>
        <w:numPr>
          <w:ilvl w:val="0"/>
          <w:numId w:val="3"/>
        </w:numPr>
        <w:rPr>
          <w:lang w:val="en-US"/>
        </w:rPr>
      </w:pPr>
      <w:r w:rsidRPr="002543CF">
        <w:rPr>
          <w:lang w:val="en-US"/>
        </w:rPr>
        <w:lastRenderedPageBreak/>
        <w:t xml:space="preserve">CHARACTERIZATION OF </w:t>
      </w:r>
      <w:r w:rsidR="00C04D28" w:rsidRPr="002543CF">
        <w:rPr>
          <w:lang w:val="en-US"/>
        </w:rPr>
        <w:t xml:space="preserve">AUSTROPLACA AND BRYUM </w:t>
      </w:r>
      <w:r w:rsidRPr="002543CF">
        <w:rPr>
          <w:lang w:val="en-US"/>
        </w:rPr>
        <w:t>ACTIV</w:t>
      </w:r>
      <w:r w:rsidR="001253D5">
        <w:rPr>
          <w:lang w:val="en-US"/>
        </w:rPr>
        <w:t>IVTY AND ACTIVATION PATTERNS</w:t>
      </w:r>
    </w:p>
    <w:p w14:paraId="1B55CF85" w14:textId="77777777" w:rsidR="00845DBC" w:rsidRDefault="00845DBC" w:rsidP="00845DBC">
      <w:pPr>
        <w:rPr>
          <w:lang w:val="en-US"/>
        </w:rPr>
      </w:pPr>
    </w:p>
    <w:p w14:paraId="29E2CC97" w14:textId="72D2FAB4" w:rsidR="00845DBC" w:rsidRPr="00C52B28" w:rsidRDefault="00C52B28" w:rsidP="00C52B28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 w:rsidRPr="00C52B28">
        <w:rPr>
          <w:u w:val="single"/>
          <w:lang w:val="en-US"/>
        </w:rPr>
        <w:t>Active</w:t>
      </w:r>
      <w:r w:rsidR="00845DBC" w:rsidRPr="00C52B28">
        <w:rPr>
          <w:u w:val="single"/>
          <w:lang w:val="en-US"/>
        </w:rPr>
        <w:t xml:space="preserve"> time</w:t>
      </w:r>
    </w:p>
    <w:p w14:paraId="13CB2CF6" w14:textId="77777777" w:rsidR="00845DBC" w:rsidRPr="00845DBC" w:rsidRDefault="00845DBC" w:rsidP="00845DBC">
      <w:pPr>
        <w:rPr>
          <w:u w:val="single"/>
          <w:lang w:val="en-US"/>
        </w:rPr>
      </w:pPr>
    </w:p>
    <w:p w14:paraId="37126B1C" w14:textId="47110C8F" w:rsidR="00845DBC" w:rsidRDefault="00845DBC" w:rsidP="00845DBC">
      <w:pPr>
        <w:rPr>
          <w:lang w:val="en-US"/>
        </w:rPr>
      </w:pPr>
      <w:commentRangeStart w:id="6"/>
      <w:r>
        <w:rPr>
          <w:lang w:val="en-US"/>
        </w:rPr>
        <w:t>Both</w:t>
      </w:r>
      <w:commentRangeEnd w:id="6"/>
      <w:r w:rsidR="00C52B28">
        <w:rPr>
          <w:rStyle w:val="CommentReference"/>
        </w:rPr>
        <w:commentReference w:id="6"/>
      </w:r>
      <w:r>
        <w:rPr>
          <w:lang w:val="en-US"/>
        </w:rPr>
        <w:t xml:space="preserve"> species showed </w:t>
      </w:r>
      <w:r w:rsidR="002A5D8A" w:rsidRPr="005975CB">
        <w:rPr>
          <w:b/>
          <w:bCs/>
          <w:lang w:val="en-US"/>
        </w:rPr>
        <w:t xml:space="preserve">nearly identical </w:t>
      </w:r>
      <w:r w:rsidR="00343CE6" w:rsidRPr="005975CB">
        <w:rPr>
          <w:b/>
          <w:bCs/>
          <w:lang w:val="en-US"/>
        </w:rPr>
        <w:t>annual</w:t>
      </w:r>
      <w:r w:rsidRPr="005975CB">
        <w:rPr>
          <w:b/>
          <w:bCs/>
          <w:lang w:val="en-US"/>
        </w:rPr>
        <w:t xml:space="preserve"> activity cycles </w:t>
      </w:r>
      <w:r>
        <w:rPr>
          <w:lang w:val="en-US"/>
        </w:rPr>
        <w:t>highly coupled with available radiation</w:t>
      </w:r>
      <w:r w:rsidR="001F6C7A">
        <w:rPr>
          <w:lang w:val="en-US"/>
        </w:rPr>
        <w:t xml:space="preserve">, in which all the </w:t>
      </w:r>
      <w:r w:rsidR="001F6C7A" w:rsidRPr="005975CB">
        <w:rPr>
          <w:b/>
          <w:bCs/>
          <w:lang w:val="en-US"/>
        </w:rPr>
        <w:t>activity was</w:t>
      </w:r>
      <w:r w:rsidRPr="005975CB">
        <w:rPr>
          <w:b/>
          <w:bCs/>
          <w:lang w:val="en-US"/>
        </w:rPr>
        <w:t xml:space="preserve"> </w:t>
      </w:r>
      <w:r w:rsidR="001F6C7A" w:rsidRPr="005975CB">
        <w:rPr>
          <w:b/>
          <w:bCs/>
          <w:lang w:val="en-US"/>
        </w:rPr>
        <w:t>concentrated in the summer</w:t>
      </w:r>
      <w:r w:rsidR="001F6C7A">
        <w:rPr>
          <w:lang w:val="en-US"/>
        </w:rPr>
        <w:t xml:space="preserve"> months</w:t>
      </w:r>
      <w:r w:rsidR="00343CE6">
        <w:rPr>
          <w:lang w:val="en-US"/>
        </w:rPr>
        <w:t xml:space="preserve"> </w:t>
      </w:r>
      <w:r>
        <w:rPr>
          <w:lang w:val="en-US"/>
        </w:rPr>
        <w:t xml:space="preserve">(Figure 1). </w:t>
      </w:r>
      <w:r w:rsidR="00343CE6">
        <w:rPr>
          <w:lang w:val="en-US"/>
        </w:rPr>
        <w:t xml:space="preserve">The activity for both species is </w:t>
      </w:r>
      <w:r w:rsidR="00343CE6" w:rsidRPr="005975CB">
        <w:rPr>
          <w:b/>
          <w:bCs/>
          <w:lang w:val="en-US"/>
        </w:rPr>
        <w:t>continuous throughout the summer</w:t>
      </w:r>
      <w:r w:rsidR="00343CE6">
        <w:rPr>
          <w:lang w:val="en-US"/>
        </w:rPr>
        <w:t xml:space="preserve"> </w:t>
      </w:r>
      <w:r w:rsidR="00EB34A4">
        <w:rPr>
          <w:lang w:val="en-US"/>
        </w:rPr>
        <w:t>except for</w:t>
      </w:r>
      <w:r w:rsidR="00343CE6">
        <w:rPr>
          <w:lang w:val="en-US"/>
        </w:rPr>
        <w:t xml:space="preserve"> </w:t>
      </w:r>
      <w:r w:rsidR="00EB34A4">
        <w:rPr>
          <w:lang w:val="en-US"/>
        </w:rPr>
        <w:t>occasional</w:t>
      </w:r>
      <w:r w:rsidR="00343CE6">
        <w:rPr>
          <w:lang w:val="en-US"/>
        </w:rPr>
        <w:t xml:space="preserve"> </w:t>
      </w:r>
      <w:r w:rsidR="00EB34A4">
        <w:rPr>
          <w:lang w:val="en-US"/>
        </w:rPr>
        <w:t xml:space="preserve">short </w:t>
      </w:r>
      <w:r w:rsidR="00343CE6">
        <w:rPr>
          <w:lang w:val="en-US"/>
        </w:rPr>
        <w:t xml:space="preserve">inactivity events </w:t>
      </w:r>
      <w:r w:rsidR="00EB34A4">
        <w:rPr>
          <w:lang w:val="en-US"/>
        </w:rPr>
        <w:t xml:space="preserve">with an average length of 48 hours (Figure 3, see Appendix </w:t>
      </w:r>
      <w:r w:rsidR="003A26D1">
        <w:rPr>
          <w:color w:val="FF0000"/>
          <w:lang w:val="en-US"/>
        </w:rPr>
        <w:t>C</w:t>
      </w:r>
      <w:r w:rsidR="00EB34A4">
        <w:rPr>
          <w:lang w:val="en-US"/>
        </w:rPr>
        <w:t>)</w:t>
      </w:r>
      <w:r w:rsidR="00343CE6">
        <w:rPr>
          <w:lang w:val="en-US"/>
        </w:rPr>
        <w:t xml:space="preserve">. </w:t>
      </w:r>
      <w:r w:rsidR="00343CE6">
        <w:rPr>
          <w:lang w:val="en-US"/>
        </w:rPr>
        <w:t>Th</w:t>
      </w:r>
      <w:r w:rsidR="00343CE6">
        <w:rPr>
          <w:lang w:val="en-US"/>
        </w:rPr>
        <w:t>ese</w:t>
      </w:r>
      <w:r w:rsidR="00343CE6">
        <w:rPr>
          <w:lang w:val="en-US"/>
        </w:rPr>
        <w:t xml:space="preserve"> were followed by uninterrupted dormancy until the following summer</w:t>
      </w:r>
      <w:r w:rsidR="00EB34A4">
        <w:rPr>
          <w:lang w:val="en-US"/>
        </w:rPr>
        <w:t>.</w:t>
      </w:r>
    </w:p>
    <w:p w14:paraId="17CB04D6" w14:textId="77777777" w:rsidR="00C27E9F" w:rsidRDefault="00C27E9F" w:rsidP="00845DBC">
      <w:pPr>
        <w:rPr>
          <w:lang w:val="en-US"/>
        </w:rPr>
      </w:pPr>
    </w:p>
    <w:p w14:paraId="2BB48DBC" w14:textId="2C39763D" w:rsidR="00C27E9F" w:rsidRDefault="00C27E9F" w:rsidP="00845DBC">
      <w:pPr>
        <w:rPr>
          <w:lang w:val="en-US"/>
        </w:rPr>
      </w:pPr>
      <w:commentRangeStart w:id="7"/>
      <w:r>
        <w:rPr>
          <w:lang w:val="en-US"/>
        </w:rPr>
        <w:t>Bot</w:t>
      </w:r>
      <w:commentRangeEnd w:id="7"/>
      <w:r w:rsidR="00C52B28">
        <w:rPr>
          <w:rStyle w:val="CommentReference"/>
        </w:rPr>
        <w:commentReference w:id="7"/>
      </w:r>
      <w:r>
        <w:rPr>
          <w:lang w:val="en-US"/>
        </w:rPr>
        <w:t>h the lichen and the moss stayed inactive during the heatwave of March 2023 (Figure 1).</w:t>
      </w:r>
    </w:p>
    <w:p w14:paraId="2308A8F0" w14:textId="77777777" w:rsidR="00845DBC" w:rsidRDefault="00845DBC" w:rsidP="00845DBC">
      <w:pPr>
        <w:rPr>
          <w:lang w:val="en-US"/>
        </w:rPr>
      </w:pPr>
    </w:p>
    <w:p w14:paraId="72BDDEE8" w14:textId="61EE4B07" w:rsidR="008E0AE2" w:rsidRPr="00C52B28" w:rsidRDefault="00C52B28" w:rsidP="00C52B28">
      <w:pPr>
        <w:pStyle w:val="ListParagraph"/>
        <w:numPr>
          <w:ilvl w:val="2"/>
          <w:numId w:val="4"/>
        </w:numPr>
        <w:rPr>
          <w:u w:val="single"/>
          <w:lang w:val="en-US"/>
        </w:rPr>
      </w:pPr>
      <w:proofErr w:type="spellStart"/>
      <w:r w:rsidRPr="00C52B28">
        <w:rPr>
          <w:u w:val="single"/>
          <w:lang w:val="en-US"/>
        </w:rPr>
        <w:t>Austroplaca</w:t>
      </w:r>
      <w:proofErr w:type="spellEnd"/>
      <w:r w:rsidRPr="00C52B28">
        <w:rPr>
          <w:u w:val="single"/>
          <w:lang w:val="en-US"/>
        </w:rPr>
        <w:t xml:space="preserve"> </w:t>
      </w:r>
      <w:proofErr w:type="spellStart"/>
      <w:r w:rsidRPr="00C52B28">
        <w:rPr>
          <w:u w:val="single"/>
          <w:lang w:val="en-US"/>
        </w:rPr>
        <w:t>Soropelta</w:t>
      </w:r>
      <w:proofErr w:type="spellEnd"/>
    </w:p>
    <w:p w14:paraId="4C93ECBF" w14:textId="77777777" w:rsidR="00C52B28" w:rsidRPr="00C52B28" w:rsidRDefault="00C52B28" w:rsidP="00C52B28">
      <w:pPr>
        <w:pStyle w:val="ListParagraph"/>
        <w:ind w:left="1080"/>
        <w:rPr>
          <w:u w:val="single"/>
          <w:lang w:val="en-US"/>
        </w:rPr>
      </w:pPr>
    </w:p>
    <w:p w14:paraId="0F0A2254" w14:textId="1D9D8E7F" w:rsidR="00845DBC" w:rsidRDefault="00845DBC" w:rsidP="00845DBC">
      <w:pPr>
        <w:rPr>
          <w:rFonts w:ascii="Calibri" w:hAnsi="Calibri" w:cs="Calibri"/>
          <w:color w:val="000000"/>
        </w:rPr>
      </w:pPr>
      <w:commentRangeStart w:id="8"/>
      <w:proofErr w:type="spellStart"/>
      <w:r w:rsidRPr="001F6C7A">
        <w:rPr>
          <w:i/>
          <w:iCs/>
          <w:lang w:val="en-US"/>
        </w:rPr>
        <w:t>Austroplaca</w:t>
      </w:r>
      <w:proofErr w:type="spellEnd"/>
      <w:r>
        <w:rPr>
          <w:lang w:val="en-US"/>
        </w:rPr>
        <w:t xml:space="preserve"> was active </w:t>
      </w:r>
      <w:commentRangeEnd w:id="8"/>
      <w:r w:rsidR="001253D5">
        <w:rPr>
          <w:rStyle w:val="CommentReference"/>
        </w:rPr>
        <w:commentReference w:id="8"/>
      </w:r>
      <w:r>
        <w:rPr>
          <w:lang w:val="en-US"/>
        </w:rPr>
        <w:t>11.77% of the measuring period (Table 1)</w:t>
      </w:r>
      <w:r w:rsidR="001253D5">
        <w:rPr>
          <w:lang w:val="en-US"/>
        </w:rPr>
        <w:t xml:space="preserve">. A </w:t>
      </w:r>
      <w:r>
        <w:rPr>
          <w:lang w:val="en-US"/>
        </w:rPr>
        <w:t>total of 4991 hours</w:t>
      </w:r>
      <w:r w:rsidR="001253D5">
        <w:rPr>
          <w:lang w:val="en-US"/>
        </w:rPr>
        <w:t xml:space="preserve"> of activity </w:t>
      </w:r>
      <w:r w:rsidR="00C27E9F">
        <w:rPr>
          <w:lang w:val="en-US"/>
        </w:rPr>
        <w:t>were irregularly distributed between the four measured summers</w:t>
      </w:r>
      <w:r w:rsidR="005975CB">
        <w:rPr>
          <w:lang w:val="en-US"/>
        </w:rPr>
        <w:t>,</w:t>
      </w:r>
      <w:r w:rsidR="00C52B28">
        <w:rPr>
          <w:lang w:val="en-US"/>
        </w:rPr>
        <w:t xml:space="preserve"> as seen in Table 2. </w:t>
      </w:r>
      <w:r w:rsidR="00C52B28">
        <w:rPr>
          <w:rFonts w:ascii="Calibri" w:hAnsi="Calibri" w:cs="Calibri"/>
          <w:color w:val="000000"/>
        </w:rPr>
        <w:t xml:space="preserve">There is </w:t>
      </w:r>
      <w:r w:rsidR="00C27E9F">
        <w:rPr>
          <w:rFonts w:ascii="Calibri" w:hAnsi="Calibri" w:cs="Calibri"/>
          <w:color w:val="000000"/>
        </w:rPr>
        <w:t xml:space="preserve">a </w:t>
      </w:r>
      <w:r w:rsidR="00C27E9F" w:rsidRPr="005975CB">
        <w:rPr>
          <w:rFonts w:ascii="Calibri" w:hAnsi="Calibri" w:cs="Calibri"/>
          <w:b/>
          <w:bCs/>
          <w:color w:val="000000"/>
        </w:rPr>
        <w:t>decreasing trend</w:t>
      </w:r>
      <w:r w:rsidR="00C27E9F">
        <w:rPr>
          <w:rFonts w:ascii="Calibri" w:hAnsi="Calibri" w:cs="Calibri"/>
          <w:color w:val="000000"/>
        </w:rPr>
        <w:t xml:space="preserve"> </w:t>
      </w:r>
      <w:r w:rsidR="00C52B28">
        <w:rPr>
          <w:rFonts w:ascii="Calibri" w:hAnsi="Calibri" w:cs="Calibri"/>
          <w:color w:val="000000"/>
        </w:rPr>
        <w:t xml:space="preserve">in </w:t>
      </w:r>
      <w:r w:rsidR="001253D5">
        <w:rPr>
          <w:rFonts w:ascii="Calibri" w:hAnsi="Calibri" w:cs="Calibri"/>
          <w:color w:val="000000"/>
        </w:rPr>
        <w:t xml:space="preserve">the amount </w:t>
      </w:r>
      <w:r w:rsidR="00C52B28">
        <w:rPr>
          <w:rFonts w:ascii="Calibri" w:hAnsi="Calibri" w:cs="Calibri"/>
          <w:color w:val="000000"/>
        </w:rPr>
        <w:t xml:space="preserve">active time </w:t>
      </w:r>
      <w:r w:rsidR="005975CB">
        <w:rPr>
          <w:rFonts w:ascii="Calibri" w:hAnsi="Calibri" w:cs="Calibri"/>
          <w:color w:val="000000"/>
        </w:rPr>
        <w:t xml:space="preserve">each summer </w:t>
      </w:r>
      <w:r w:rsidR="00C27E9F">
        <w:rPr>
          <w:rFonts w:ascii="Calibri" w:hAnsi="Calibri" w:cs="Calibri"/>
          <w:color w:val="000000"/>
        </w:rPr>
        <w:t>with a ste</w:t>
      </w:r>
      <w:r w:rsidR="00F007BE">
        <w:rPr>
          <w:rFonts w:ascii="Calibri" w:hAnsi="Calibri" w:cs="Calibri"/>
          <w:color w:val="000000"/>
        </w:rPr>
        <w:t>e</w:t>
      </w:r>
      <w:r w:rsidR="00C27E9F">
        <w:rPr>
          <w:rFonts w:ascii="Calibri" w:hAnsi="Calibri" w:cs="Calibri"/>
          <w:color w:val="000000"/>
        </w:rPr>
        <w:t xml:space="preserve">p decline from </w:t>
      </w:r>
      <w:r w:rsidR="00F007BE">
        <w:rPr>
          <w:rFonts w:ascii="Calibri" w:hAnsi="Calibri" w:cs="Calibri"/>
          <w:color w:val="000000"/>
        </w:rPr>
        <w:t xml:space="preserve">the summer 21-22 when there 1176 active hours to the summer 22-23 when there were </w:t>
      </w:r>
      <w:r w:rsidR="00C52B28">
        <w:rPr>
          <w:rFonts w:ascii="Calibri" w:hAnsi="Calibri" w:cs="Calibri"/>
          <w:color w:val="000000"/>
        </w:rPr>
        <w:t>only 483 (</w:t>
      </w:r>
      <w:r w:rsidR="00F007BE">
        <w:rPr>
          <w:rFonts w:ascii="Calibri" w:hAnsi="Calibri" w:cs="Calibri"/>
          <w:color w:val="000000"/>
        </w:rPr>
        <w:t>Table 2</w:t>
      </w:r>
      <w:r w:rsidR="00C52B28">
        <w:rPr>
          <w:rFonts w:ascii="Calibri" w:hAnsi="Calibri" w:cs="Calibri"/>
          <w:color w:val="000000"/>
        </w:rPr>
        <w:t>)</w:t>
      </w:r>
      <w:r w:rsidR="00F007BE">
        <w:rPr>
          <w:rFonts w:ascii="Calibri" w:hAnsi="Calibri" w:cs="Calibri"/>
          <w:color w:val="000000"/>
        </w:rPr>
        <w:t xml:space="preserve">. </w:t>
      </w:r>
    </w:p>
    <w:p w14:paraId="4519BCE3" w14:textId="77777777" w:rsidR="008E0AE2" w:rsidRDefault="008E0AE2" w:rsidP="00845DBC">
      <w:pPr>
        <w:rPr>
          <w:lang w:val="en-US"/>
        </w:rPr>
      </w:pPr>
    </w:p>
    <w:p w14:paraId="33E018B4" w14:textId="6CB3D786" w:rsidR="001253D5" w:rsidRDefault="00F007BE" w:rsidP="00845DBC">
      <w:pPr>
        <w:rPr>
          <w:rFonts w:ascii="Calibri" w:hAnsi="Calibri" w:cs="Calibri"/>
          <w:color w:val="000000"/>
        </w:rPr>
      </w:pPr>
      <w:commentRangeStart w:id="9"/>
      <w:r w:rsidRPr="00F007BE">
        <w:rPr>
          <w:lang w:val="en-US"/>
        </w:rPr>
        <w:t>Every summer</w:t>
      </w:r>
      <w:commentRangeEnd w:id="9"/>
      <w:r w:rsidR="001253D5">
        <w:rPr>
          <w:rStyle w:val="CommentReference"/>
        </w:rPr>
        <w:commentReference w:id="9"/>
      </w:r>
      <w:r w:rsidRPr="00F007BE">
        <w:rPr>
          <w:lang w:val="en-US"/>
        </w:rPr>
        <w:t xml:space="preserve">, </w:t>
      </w:r>
      <w:proofErr w:type="spellStart"/>
      <w:r w:rsidRPr="00F007BE">
        <w:rPr>
          <w:i/>
          <w:iCs/>
          <w:lang w:val="en-US"/>
        </w:rPr>
        <w:t>Austroplaca</w:t>
      </w:r>
      <w:proofErr w:type="spellEnd"/>
      <w:r w:rsidRPr="00F007BE">
        <w:rPr>
          <w:lang w:val="en-US"/>
        </w:rPr>
        <w:t xml:space="preserve"> had the less active time</w:t>
      </w:r>
      <w:r w:rsidR="008E0AE2">
        <w:rPr>
          <w:lang w:val="en-US"/>
        </w:rPr>
        <w:t xml:space="preserve"> during the month of November</w:t>
      </w:r>
      <w:r w:rsidRPr="00F007BE">
        <w:rPr>
          <w:lang w:val="en-US"/>
        </w:rPr>
        <w:t xml:space="preserve">, with </w:t>
      </w:r>
      <w:r w:rsidRPr="00F007BE">
        <w:rPr>
          <w:rFonts w:ascii="Calibri" w:hAnsi="Calibri" w:cs="Calibri"/>
          <w:color w:val="000000"/>
        </w:rPr>
        <w:t>31, 24, 0 and 8 hour</w:t>
      </w:r>
      <w:r>
        <w:rPr>
          <w:rFonts w:ascii="Calibri" w:hAnsi="Calibri" w:cs="Calibri"/>
          <w:color w:val="000000"/>
        </w:rPr>
        <w:t>s each respective year</w:t>
      </w:r>
      <w:r w:rsidR="003A26D1">
        <w:rPr>
          <w:rFonts w:ascii="Calibri" w:hAnsi="Calibri" w:cs="Calibri"/>
          <w:color w:val="000000"/>
        </w:rPr>
        <w:t xml:space="preserve"> (Check Appendix </w:t>
      </w:r>
      <w:r w:rsidR="003A26D1" w:rsidRPr="003A26D1">
        <w:rPr>
          <w:rFonts w:ascii="Calibri" w:hAnsi="Calibri" w:cs="Calibri"/>
          <w:color w:val="FF0000"/>
        </w:rPr>
        <w:t>B</w:t>
      </w:r>
      <w:r w:rsidR="003A26D1">
        <w:rPr>
          <w:rFonts w:ascii="Calibri" w:hAnsi="Calibri" w:cs="Calibri"/>
          <w:color w:val="000000"/>
        </w:rPr>
        <w:t xml:space="preserve"> for monthly values)</w:t>
      </w:r>
      <w:r>
        <w:rPr>
          <w:rFonts w:ascii="Calibri" w:hAnsi="Calibri" w:cs="Calibri"/>
          <w:color w:val="000000"/>
        </w:rPr>
        <w:t xml:space="preserve">. </w:t>
      </w:r>
      <w:r w:rsidR="008E0AE2">
        <w:rPr>
          <w:rFonts w:ascii="Calibri" w:hAnsi="Calibri" w:cs="Calibri"/>
          <w:color w:val="000000"/>
        </w:rPr>
        <w:t xml:space="preserve">This </w:t>
      </w:r>
      <w:r w:rsidR="003A26D1">
        <w:rPr>
          <w:rFonts w:ascii="Calibri" w:hAnsi="Calibri" w:cs="Calibri"/>
          <w:color w:val="000000"/>
        </w:rPr>
        <w:t>is because activation did not occur until late in the month</w:t>
      </w:r>
      <w:r w:rsidR="008E0AE2">
        <w:rPr>
          <w:rFonts w:ascii="Calibri" w:hAnsi="Calibri" w:cs="Calibri"/>
          <w:color w:val="000000"/>
        </w:rPr>
        <w:t xml:space="preserve"> (</w:t>
      </w:r>
      <w:r w:rsidR="004C50F7">
        <w:rPr>
          <w:rFonts w:ascii="Calibri" w:hAnsi="Calibri" w:cs="Calibri"/>
          <w:color w:val="000000"/>
        </w:rPr>
        <w:t>Table</w:t>
      </w:r>
      <w:r w:rsidR="008E0AE2">
        <w:rPr>
          <w:rFonts w:ascii="Calibri" w:hAnsi="Calibri" w:cs="Calibri"/>
          <w:color w:val="000000"/>
        </w:rPr>
        <w:t xml:space="preserve"> 3, Appendix </w:t>
      </w:r>
      <w:r w:rsidR="003A26D1">
        <w:rPr>
          <w:rFonts w:ascii="Calibri" w:hAnsi="Calibri" w:cs="Calibri"/>
          <w:color w:val="FF0000"/>
        </w:rPr>
        <w:t>C</w:t>
      </w:r>
      <w:r w:rsidR="008E0AE2">
        <w:rPr>
          <w:rFonts w:ascii="Calibri" w:hAnsi="Calibri" w:cs="Calibri"/>
          <w:color w:val="000000"/>
        </w:rPr>
        <w:t xml:space="preserve">). </w:t>
      </w:r>
      <w:commentRangeStart w:id="10"/>
      <w:r w:rsidR="003A26D1">
        <w:rPr>
          <w:rFonts w:ascii="Calibri" w:hAnsi="Calibri" w:cs="Calibri"/>
          <w:color w:val="000000"/>
        </w:rPr>
        <w:t xml:space="preserve">In 2019 </w:t>
      </w:r>
      <w:proofErr w:type="spellStart"/>
      <w:r w:rsidR="003A26D1" w:rsidRPr="003A26D1">
        <w:rPr>
          <w:rFonts w:ascii="Calibri" w:hAnsi="Calibri" w:cs="Calibri"/>
          <w:i/>
          <w:iCs/>
          <w:color w:val="000000"/>
        </w:rPr>
        <w:t>Austroplaca</w:t>
      </w:r>
      <w:proofErr w:type="spellEnd"/>
      <w:r w:rsidR="003A26D1">
        <w:rPr>
          <w:rFonts w:ascii="Calibri" w:hAnsi="Calibri" w:cs="Calibri"/>
          <w:color w:val="000000"/>
        </w:rPr>
        <w:t xml:space="preserve"> activated on the 29</w:t>
      </w:r>
      <w:r w:rsidR="003A26D1" w:rsidRPr="003A26D1">
        <w:rPr>
          <w:rFonts w:ascii="Calibri" w:hAnsi="Calibri" w:cs="Calibri"/>
          <w:color w:val="000000"/>
          <w:vertAlign w:val="superscript"/>
        </w:rPr>
        <w:t>th</w:t>
      </w:r>
      <w:r w:rsidR="003A26D1">
        <w:rPr>
          <w:rFonts w:ascii="Calibri" w:hAnsi="Calibri" w:cs="Calibri"/>
          <w:color w:val="000000"/>
        </w:rPr>
        <w:t xml:space="preserve"> of November, in 2020 on the 30</w:t>
      </w:r>
      <w:r w:rsidR="003A26D1" w:rsidRPr="003A26D1">
        <w:rPr>
          <w:rFonts w:ascii="Calibri" w:hAnsi="Calibri" w:cs="Calibri"/>
          <w:color w:val="000000"/>
          <w:vertAlign w:val="superscript"/>
        </w:rPr>
        <w:t>th</w:t>
      </w:r>
      <w:r w:rsidR="003A26D1">
        <w:rPr>
          <w:rFonts w:ascii="Calibri" w:hAnsi="Calibri" w:cs="Calibri"/>
          <w:color w:val="000000"/>
        </w:rPr>
        <w:t xml:space="preserve"> of the same month, in 2021 on the 8</w:t>
      </w:r>
      <w:r w:rsidR="003A26D1" w:rsidRPr="003A26D1">
        <w:rPr>
          <w:rFonts w:ascii="Calibri" w:hAnsi="Calibri" w:cs="Calibri"/>
          <w:color w:val="000000"/>
          <w:vertAlign w:val="superscript"/>
        </w:rPr>
        <w:t>th</w:t>
      </w:r>
      <w:r w:rsidR="003A26D1">
        <w:rPr>
          <w:rFonts w:ascii="Calibri" w:hAnsi="Calibri" w:cs="Calibri"/>
          <w:color w:val="000000"/>
        </w:rPr>
        <w:t xml:space="preserve"> of December (meaning there was no active time during the month of November), and in 2023 again on the 29</w:t>
      </w:r>
      <w:r w:rsidR="003A26D1" w:rsidRPr="003A26D1">
        <w:rPr>
          <w:rFonts w:ascii="Calibri" w:hAnsi="Calibri" w:cs="Calibri"/>
          <w:color w:val="000000"/>
          <w:vertAlign w:val="superscript"/>
        </w:rPr>
        <w:t>th</w:t>
      </w:r>
      <w:r w:rsidR="003A26D1">
        <w:rPr>
          <w:rFonts w:ascii="Calibri" w:hAnsi="Calibri" w:cs="Calibri"/>
          <w:color w:val="000000"/>
        </w:rPr>
        <w:t xml:space="preserve"> of November.  </w:t>
      </w:r>
      <w:commentRangeEnd w:id="10"/>
      <w:r w:rsidR="004C50F7">
        <w:rPr>
          <w:rStyle w:val="CommentReference"/>
        </w:rPr>
        <w:commentReference w:id="10"/>
      </w:r>
    </w:p>
    <w:p w14:paraId="7445823A" w14:textId="77777777" w:rsidR="001253D5" w:rsidRDefault="001253D5" w:rsidP="00845DBC">
      <w:pPr>
        <w:rPr>
          <w:rFonts w:ascii="Calibri" w:hAnsi="Calibri" w:cs="Calibri"/>
          <w:color w:val="000000"/>
        </w:rPr>
      </w:pPr>
    </w:p>
    <w:p w14:paraId="41FFC2DE" w14:textId="77777777" w:rsidR="001253D5" w:rsidRDefault="00F007BE" w:rsidP="00845DBC">
      <w:pPr>
        <w:rPr>
          <w:rFonts w:ascii="Calibri" w:hAnsi="Calibri" w:cs="Calibri"/>
          <w:color w:val="000000"/>
        </w:rPr>
      </w:pPr>
      <w:commentRangeStart w:id="11"/>
      <w:r>
        <w:rPr>
          <w:rFonts w:ascii="Calibri" w:hAnsi="Calibri" w:cs="Calibri"/>
          <w:color w:val="000000"/>
        </w:rPr>
        <w:t>The</w:t>
      </w:r>
      <w:r w:rsidR="008E0AE2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activity increase</w:t>
      </w:r>
      <w:r w:rsidR="008E0AE2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commentRangeEnd w:id="11"/>
      <w:r w:rsidR="001253D5">
        <w:rPr>
          <w:rStyle w:val="CommentReference"/>
        </w:rPr>
        <w:commentReference w:id="11"/>
      </w:r>
      <w:r>
        <w:rPr>
          <w:rFonts w:ascii="Calibri" w:hAnsi="Calibri" w:cs="Calibri"/>
          <w:color w:val="000000"/>
        </w:rPr>
        <w:t>dramatically during the months of December and January</w:t>
      </w:r>
      <w:r w:rsidR="008E0AE2">
        <w:rPr>
          <w:rFonts w:ascii="Calibri" w:hAnsi="Calibri" w:cs="Calibri"/>
          <w:color w:val="000000"/>
        </w:rPr>
        <w:t>, D</w:t>
      </w:r>
      <w:r>
        <w:rPr>
          <w:rFonts w:ascii="Calibri" w:hAnsi="Calibri" w:cs="Calibri"/>
          <w:color w:val="000000"/>
        </w:rPr>
        <w:t>ecember being the month with the most active hours every year (</w:t>
      </w:r>
      <w:r w:rsidRPr="00F007BE">
        <w:rPr>
          <w:rFonts w:ascii="Calibri" w:hAnsi="Calibri" w:cs="Calibri"/>
          <w:color w:val="000000"/>
        </w:rPr>
        <w:t>741, 715, 533, 301</w:t>
      </w:r>
      <w:r w:rsidRPr="00F007BE">
        <w:rPr>
          <w:rFonts w:ascii="Calibri" w:hAnsi="Calibri" w:cs="Calibri"/>
          <w:color w:val="000000"/>
        </w:rPr>
        <w:t xml:space="preserve"> active hours</w:t>
      </w:r>
      <w:r w:rsidR="003A26D1">
        <w:rPr>
          <w:rFonts w:ascii="Calibri" w:hAnsi="Calibri" w:cs="Calibri"/>
          <w:color w:val="000000"/>
        </w:rPr>
        <w:t xml:space="preserve"> respectively</w:t>
      </w:r>
      <w:r>
        <w:rPr>
          <w:rFonts w:ascii="Calibri" w:hAnsi="Calibri" w:cs="Calibri"/>
          <w:color w:val="000000"/>
        </w:rPr>
        <w:t>)</w:t>
      </w:r>
      <w:r w:rsidR="008E0AE2">
        <w:rPr>
          <w:rFonts w:ascii="Calibri" w:hAnsi="Calibri" w:cs="Calibri"/>
          <w:color w:val="000000"/>
        </w:rPr>
        <w:t xml:space="preserve">. </w:t>
      </w:r>
    </w:p>
    <w:p w14:paraId="376BCD6B" w14:textId="77777777" w:rsidR="001253D5" w:rsidRDefault="001253D5" w:rsidP="00845DBC">
      <w:pPr>
        <w:rPr>
          <w:rFonts w:ascii="Calibri" w:hAnsi="Calibri" w:cs="Calibri"/>
          <w:color w:val="000000"/>
        </w:rPr>
      </w:pPr>
    </w:p>
    <w:p w14:paraId="6C573394" w14:textId="02094009" w:rsidR="00845DBC" w:rsidRPr="003A26D1" w:rsidRDefault="008E0AE2" w:rsidP="00845DBC">
      <w:pPr>
        <w:rPr>
          <w:rFonts w:ascii="Calibri" w:hAnsi="Calibri" w:cs="Calibri"/>
          <w:color w:val="000000"/>
        </w:rPr>
      </w:pPr>
      <w:commentRangeStart w:id="12"/>
      <w:r>
        <w:rPr>
          <w:rFonts w:ascii="Calibri" w:hAnsi="Calibri" w:cs="Calibri"/>
          <w:color w:val="000000"/>
        </w:rPr>
        <w:t xml:space="preserve">Lastly, active time decreased </w:t>
      </w:r>
      <w:commentRangeEnd w:id="12"/>
      <w:r w:rsidR="002A3F5B">
        <w:rPr>
          <w:rStyle w:val="CommentReference"/>
        </w:rPr>
        <w:commentReference w:id="12"/>
      </w:r>
      <w:r>
        <w:rPr>
          <w:rFonts w:ascii="Calibri" w:hAnsi="Calibri" w:cs="Calibri"/>
          <w:color w:val="000000"/>
        </w:rPr>
        <w:t xml:space="preserve">in February with 240, 147, 125 and 0 hours each year. </w:t>
      </w:r>
      <w:r w:rsidR="002A3F5B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 xml:space="preserve">decrease on the number of hours of </w:t>
      </w:r>
      <w:r w:rsidR="002A3F5B">
        <w:rPr>
          <w:rFonts w:ascii="Calibri" w:hAnsi="Calibri" w:cs="Calibri"/>
          <w:color w:val="000000"/>
        </w:rPr>
        <w:t xml:space="preserve">activity over </w:t>
      </w:r>
      <w:r>
        <w:rPr>
          <w:rFonts w:ascii="Calibri" w:hAnsi="Calibri" w:cs="Calibri"/>
          <w:color w:val="000000"/>
        </w:rPr>
        <w:t xml:space="preserve">February </w:t>
      </w:r>
      <w:r w:rsidR="002A3F5B">
        <w:rPr>
          <w:rFonts w:ascii="Calibri" w:hAnsi="Calibri" w:cs="Calibri"/>
          <w:color w:val="000000"/>
        </w:rPr>
        <w:t>through</w:t>
      </w:r>
      <w:r>
        <w:rPr>
          <w:rFonts w:ascii="Calibri" w:hAnsi="Calibri" w:cs="Calibri"/>
          <w:color w:val="000000"/>
        </w:rPr>
        <w:t xml:space="preserve"> the years </w:t>
      </w:r>
      <w:commentRangeStart w:id="13"/>
      <w:r w:rsidR="002A3F5B">
        <w:rPr>
          <w:rFonts w:ascii="Calibri" w:hAnsi="Calibri" w:cs="Calibri"/>
          <w:color w:val="000000"/>
        </w:rPr>
        <w:t>indicates</w:t>
      </w:r>
      <w:r>
        <w:rPr>
          <w:rFonts w:ascii="Calibri" w:hAnsi="Calibri" w:cs="Calibri"/>
          <w:color w:val="000000"/>
        </w:rPr>
        <w:t xml:space="preserve"> that the lichen dries earlier in the month every year. </w:t>
      </w:r>
      <w:r w:rsidR="005975CB">
        <w:rPr>
          <w:rFonts w:ascii="Calibri" w:hAnsi="Calibri" w:cs="Calibri"/>
          <w:color w:val="000000"/>
        </w:rPr>
        <w:t>Whereas in 2020 is dried the 18</w:t>
      </w:r>
      <w:r w:rsidR="005975CB" w:rsidRPr="005975CB">
        <w:rPr>
          <w:rFonts w:ascii="Calibri" w:hAnsi="Calibri" w:cs="Calibri"/>
          <w:color w:val="000000"/>
          <w:vertAlign w:val="superscript"/>
        </w:rPr>
        <w:t>th</w:t>
      </w:r>
      <w:r w:rsidR="005975CB">
        <w:rPr>
          <w:rFonts w:ascii="Calibri" w:hAnsi="Calibri" w:cs="Calibri"/>
          <w:color w:val="000000"/>
        </w:rPr>
        <w:t xml:space="preserve"> of February, in 2021 it dried completely on the 13</w:t>
      </w:r>
      <w:r w:rsidR="005975CB" w:rsidRPr="005975CB">
        <w:rPr>
          <w:rFonts w:ascii="Calibri" w:hAnsi="Calibri" w:cs="Calibri"/>
          <w:color w:val="000000"/>
          <w:vertAlign w:val="superscript"/>
        </w:rPr>
        <w:t>th</w:t>
      </w:r>
      <w:r w:rsidR="005975CB">
        <w:rPr>
          <w:rFonts w:ascii="Calibri" w:hAnsi="Calibri" w:cs="Calibri"/>
          <w:color w:val="000000"/>
        </w:rPr>
        <w:t xml:space="preserve"> and 14</w:t>
      </w:r>
      <w:r w:rsidR="005975CB" w:rsidRPr="005975CB">
        <w:rPr>
          <w:rFonts w:ascii="Calibri" w:hAnsi="Calibri" w:cs="Calibri"/>
          <w:color w:val="000000"/>
          <w:vertAlign w:val="superscript"/>
        </w:rPr>
        <w:t>th</w:t>
      </w:r>
      <w:r w:rsidR="005975CB">
        <w:rPr>
          <w:rFonts w:ascii="Calibri" w:hAnsi="Calibri" w:cs="Calibri"/>
          <w:color w:val="000000"/>
        </w:rPr>
        <w:t xml:space="preserve">. In 2022 it </w:t>
      </w:r>
      <w:r w:rsidR="002A3F5B">
        <w:rPr>
          <w:rFonts w:ascii="Calibri" w:hAnsi="Calibri" w:cs="Calibri"/>
          <w:color w:val="000000"/>
        </w:rPr>
        <w:t>was on</w:t>
      </w:r>
      <w:r w:rsidR="005975CB">
        <w:rPr>
          <w:rFonts w:ascii="Calibri" w:hAnsi="Calibri" w:cs="Calibri"/>
          <w:color w:val="000000"/>
        </w:rPr>
        <w:t xml:space="preserve"> the 9</w:t>
      </w:r>
      <w:r w:rsidR="005975CB" w:rsidRPr="005975CB">
        <w:rPr>
          <w:rFonts w:ascii="Calibri" w:hAnsi="Calibri" w:cs="Calibri"/>
          <w:color w:val="000000"/>
          <w:vertAlign w:val="superscript"/>
        </w:rPr>
        <w:t>th</w:t>
      </w:r>
      <w:r w:rsidR="005975CB">
        <w:rPr>
          <w:rFonts w:ascii="Calibri" w:hAnsi="Calibri" w:cs="Calibri"/>
          <w:color w:val="000000"/>
        </w:rPr>
        <w:t xml:space="preserve"> of February</w:t>
      </w:r>
      <w:r w:rsidR="002A3F5B">
        <w:rPr>
          <w:rFonts w:ascii="Calibri" w:hAnsi="Calibri" w:cs="Calibri"/>
          <w:color w:val="000000"/>
        </w:rPr>
        <w:t xml:space="preserve"> (Fig. 3)</w:t>
      </w:r>
      <w:r w:rsidR="005975CB">
        <w:rPr>
          <w:rFonts w:ascii="Calibri" w:hAnsi="Calibri" w:cs="Calibri"/>
          <w:color w:val="000000"/>
        </w:rPr>
        <w:t>, and in 2023 the 11</w:t>
      </w:r>
      <w:r w:rsidR="005975CB" w:rsidRPr="005975CB">
        <w:rPr>
          <w:rFonts w:ascii="Calibri" w:hAnsi="Calibri" w:cs="Calibri"/>
          <w:color w:val="000000"/>
          <w:vertAlign w:val="superscript"/>
        </w:rPr>
        <w:t>th</w:t>
      </w:r>
      <w:r w:rsidR="005975CB">
        <w:rPr>
          <w:rFonts w:ascii="Calibri" w:hAnsi="Calibri" w:cs="Calibri"/>
          <w:color w:val="000000"/>
        </w:rPr>
        <w:t xml:space="preserve"> of January, so there was no activity in February. </w:t>
      </w:r>
      <w:commentRangeEnd w:id="13"/>
      <w:r w:rsidR="0039197B">
        <w:rPr>
          <w:rStyle w:val="CommentReference"/>
        </w:rPr>
        <w:commentReference w:id="13"/>
      </w:r>
    </w:p>
    <w:p w14:paraId="53056BFE" w14:textId="77777777" w:rsidR="00C17050" w:rsidRDefault="00C17050" w:rsidP="00C17050">
      <w:pPr>
        <w:rPr>
          <w:rFonts w:cstheme="minorHAnsi"/>
        </w:rPr>
      </w:pPr>
    </w:p>
    <w:p w14:paraId="40FF144D" w14:textId="28A0413A" w:rsidR="002A3F5B" w:rsidRPr="002A3F5B" w:rsidRDefault="002A3F5B" w:rsidP="00C17050">
      <w:pPr>
        <w:rPr>
          <w:rFonts w:cstheme="minorHAnsi"/>
          <w:color w:val="FF0000"/>
        </w:rPr>
      </w:pPr>
      <w:r w:rsidRPr="002A3F5B">
        <w:rPr>
          <w:rFonts w:cstheme="minorHAnsi"/>
          <w:color w:val="FF0000"/>
        </w:rPr>
        <w:t>Talk about drying- reactivation events.</w:t>
      </w:r>
    </w:p>
    <w:p w14:paraId="4D78A6B5" w14:textId="77777777" w:rsidR="002A3F5B" w:rsidRDefault="002A3F5B" w:rsidP="00C17050">
      <w:pPr>
        <w:rPr>
          <w:rFonts w:cstheme="minorHAnsi"/>
        </w:rPr>
      </w:pPr>
    </w:p>
    <w:p w14:paraId="327E3049" w14:textId="1E666971" w:rsidR="002A3F5B" w:rsidRPr="002A3F5B" w:rsidRDefault="002A3F5B" w:rsidP="002A3F5B">
      <w:pPr>
        <w:pStyle w:val="ListParagraph"/>
        <w:numPr>
          <w:ilvl w:val="2"/>
          <w:numId w:val="4"/>
        </w:numPr>
        <w:rPr>
          <w:rFonts w:cstheme="minorHAnsi"/>
          <w:u w:val="single"/>
        </w:rPr>
      </w:pPr>
      <w:proofErr w:type="spellStart"/>
      <w:r w:rsidRPr="002A3F5B">
        <w:rPr>
          <w:rFonts w:cstheme="minorHAnsi"/>
          <w:u w:val="single"/>
        </w:rPr>
        <w:t>Bryum</w:t>
      </w:r>
      <w:proofErr w:type="spellEnd"/>
      <w:r w:rsidRPr="002A3F5B">
        <w:rPr>
          <w:rFonts w:cstheme="minorHAnsi"/>
          <w:u w:val="single"/>
        </w:rPr>
        <w:t xml:space="preserve"> argenteum</w:t>
      </w:r>
    </w:p>
    <w:p w14:paraId="53A83679" w14:textId="77777777" w:rsidR="002A3F5B" w:rsidRDefault="002A3F5B" w:rsidP="002A3F5B">
      <w:pPr>
        <w:rPr>
          <w:rFonts w:cstheme="minorHAnsi"/>
        </w:rPr>
      </w:pPr>
    </w:p>
    <w:p w14:paraId="6BABEA8F" w14:textId="6323C3DF" w:rsidR="002A3F5B" w:rsidRDefault="006B50D0" w:rsidP="002A3F5B">
      <w:pPr>
        <w:rPr>
          <w:rFonts w:cstheme="minorHAnsi"/>
        </w:rPr>
      </w:pPr>
      <w:proofErr w:type="spellStart"/>
      <w:r w:rsidRPr="00C80379">
        <w:rPr>
          <w:rFonts w:cstheme="minorHAnsi"/>
          <w:i/>
          <w:iCs/>
        </w:rPr>
        <w:t>Bryum</w:t>
      </w:r>
      <w:proofErr w:type="spellEnd"/>
      <w:r>
        <w:rPr>
          <w:rFonts w:cstheme="minorHAnsi"/>
        </w:rPr>
        <w:t xml:space="preserve"> was active</w:t>
      </w:r>
      <w:r w:rsidR="00C80379">
        <w:rPr>
          <w:rFonts w:cstheme="minorHAnsi"/>
        </w:rPr>
        <w:t xml:space="preserve"> 10.8% of the measured time (Table 1). The total 4583 hours, as with </w:t>
      </w:r>
      <w:proofErr w:type="spellStart"/>
      <w:r w:rsidR="00C80379" w:rsidRPr="00C80379">
        <w:rPr>
          <w:rFonts w:cstheme="minorHAnsi"/>
          <w:i/>
          <w:iCs/>
        </w:rPr>
        <w:t>Austroplaca</w:t>
      </w:r>
      <w:proofErr w:type="spellEnd"/>
      <w:r w:rsidR="00C80379">
        <w:rPr>
          <w:rFonts w:cstheme="minorHAnsi"/>
        </w:rPr>
        <w:t>, were unevenly distributed over the summer showcasing a decreasing trend over time (Table 2). The decline was especially abrupt from summer 2021-2022 to summer 2022-2023 when the active hours reduced, in average, from 910 to 541, as shown in Table 2.</w:t>
      </w:r>
    </w:p>
    <w:p w14:paraId="18553B5F" w14:textId="77777777" w:rsidR="00C80379" w:rsidRDefault="00C80379" w:rsidP="002A3F5B">
      <w:pPr>
        <w:rPr>
          <w:rFonts w:cstheme="minorHAnsi"/>
        </w:rPr>
      </w:pPr>
    </w:p>
    <w:p w14:paraId="040072C5" w14:textId="540D705F" w:rsidR="00C80379" w:rsidRDefault="00C80379" w:rsidP="002A3F5B">
      <w:pPr>
        <w:rPr>
          <w:rFonts w:cstheme="minorHAnsi"/>
        </w:rPr>
      </w:pPr>
      <w:r>
        <w:rPr>
          <w:rFonts w:cstheme="minorHAnsi"/>
        </w:rPr>
        <w:lastRenderedPageBreak/>
        <w:t xml:space="preserve">Every year, November was the month of the summer when </w:t>
      </w:r>
      <w:proofErr w:type="spellStart"/>
      <w:r>
        <w:rPr>
          <w:rFonts w:cstheme="minorHAnsi"/>
        </w:rPr>
        <w:t>Bryum</w:t>
      </w:r>
      <w:proofErr w:type="spellEnd"/>
      <w:r>
        <w:rPr>
          <w:rFonts w:cstheme="minorHAnsi"/>
        </w:rPr>
        <w:t xml:space="preserve"> was the less active. Two of the samples did not </w:t>
      </w:r>
      <w:r w:rsidR="00CA0123">
        <w:rPr>
          <w:rFonts w:cstheme="minorHAnsi"/>
        </w:rPr>
        <w:t>have any active time</w:t>
      </w:r>
      <w:r>
        <w:rPr>
          <w:rFonts w:cstheme="minorHAnsi"/>
        </w:rPr>
        <w:t xml:space="preserve"> </w:t>
      </w:r>
      <w:r w:rsidR="00CA0123">
        <w:rPr>
          <w:rFonts w:cstheme="minorHAnsi"/>
        </w:rPr>
        <w:t>during this month any of the years, and Sample X2 only had 15 hours of activity in 2019 –it was active from the 24</w:t>
      </w:r>
      <w:r w:rsidR="00CA0123" w:rsidRPr="00CA0123">
        <w:rPr>
          <w:rFonts w:cstheme="minorHAnsi"/>
          <w:vertAlign w:val="superscript"/>
        </w:rPr>
        <w:t>th</w:t>
      </w:r>
      <w:r w:rsidR="00CA0123">
        <w:rPr>
          <w:rFonts w:cstheme="minorHAnsi"/>
        </w:rPr>
        <w:t xml:space="preserve"> to the 26</w:t>
      </w:r>
      <w:r w:rsidR="00CA0123" w:rsidRPr="00CA0123">
        <w:rPr>
          <w:rFonts w:cstheme="minorHAnsi"/>
          <w:vertAlign w:val="superscript"/>
        </w:rPr>
        <w:t>th</w:t>
      </w:r>
      <w:r w:rsidR="00CA0123">
        <w:rPr>
          <w:rFonts w:cstheme="minorHAnsi"/>
        </w:rPr>
        <w:t xml:space="preserve"> of November before drying until 2</w:t>
      </w:r>
      <w:r w:rsidR="00CA0123" w:rsidRPr="00CA0123">
        <w:rPr>
          <w:rFonts w:cstheme="minorHAnsi"/>
          <w:vertAlign w:val="superscript"/>
        </w:rPr>
        <w:t>nd</w:t>
      </w:r>
      <w:r w:rsidR="00CA0123">
        <w:rPr>
          <w:rFonts w:cstheme="minorHAnsi"/>
        </w:rPr>
        <w:t xml:space="preserve"> of December– and 21 in 2023 –activated the 30</w:t>
      </w:r>
      <w:r w:rsidR="00CA0123" w:rsidRPr="00CA0123">
        <w:rPr>
          <w:rFonts w:cstheme="minorHAnsi"/>
          <w:vertAlign w:val="superscript"/>
        </w:rPr>
        <w:t>th</w:t>
      </w:r>
      <w:r w:rsidR="00CA0123">
        <w:rPr>
          <w:rFonts w:cstheme="minorHAnsi"/>
        </w:rPr>
        <w:t xml:space="preserve"> of November. </w:t>
      </w:r>
      <w:r w:rsidR="004C50F7">
        <w:rPr>
          <w:rFonts w:cstheme="minorHAnsi"/>
        </w:rPr>
        <w:t xml:space="preserve">The dates of activation each year of the rest of samples are summarised in Table 3. </w:t>
      </w:r>
    </w:p>
    <w:p w14:paraId="73E81710" w14:textId="77777777" w:rsidR="004C50F7" w:rsidRDefault="004C50F7" w:rsidP="002A3F5B">
      <w:pPr>
        <w:rPr>
          <w:rFonts w:cstheme="minorHAnsi"/>
        </w:rPr>
      </w:pPr>
    </w:p>
    <w:p w14:paraId="399A43D2" w14:textId="2F7F693C" w:rsidR="004C50F7" w:rsidRDefault="004C50F7" w:rsidP="002A3F5B">
      <w:pPr>
        <w:rPr>
          <w:rFonts w:cstheme="minorHAnsi"/>
        </w:rPr>
      </w:pPr>
      <w:proofErr w:type="spellStart"/>
      <w:r>
        <w:rPr>
          <w:rFonts w:cstheme="minorHAnsi"/>
        </w:rPr>
        <w:t>Bryum</w:t>
      </w:r>
      <w:proofErr w:type="spellEnd"/>
      <w:r>
        <w:rPr>
          <w:rFonts w:cstheme="minorHAnsi"/>
        </w:rPr>
        <w:t xml:space="preserve"> had the most active time during December and January</w:t>
      </w:r>
      <w:r w:rsidR="00613988">
        <w:rPr>
          <w:rFonts w:cstheme="minorHAnsi"/>
        </w:rPr>
        <w:t xml:space="preserve">. During the summers of 2019-2020 and 2021-2022 it had more active hours during the December whereas </w:t>
      </w:r>
    </w:p>
    <w:p w14:paraId="2D6014E7" w14:textId="69388DFD" w:rsidR="004C50F7" w:rsidRDefault="00613988" w:rsidP="002A3F5B">
      <w:pPr>
        <w:rPr>
          <w:rFonts w:cstheme="minorHAnsi"/>
        </w:rPr>
      </w:pPr>
      <w:r>
        <w:rPr>
          <w:rFonts w:cstheme="minorHAnsi"/>
        </w:rPr>
        <w:t>In 2020-2021 and 2022-2023 it had more active hours during the month</w:t>
      </w:r>
      <w:r w:rsidR="00BA79FA">
        <w:rPr>
          <w:rFonts w:cstheme="minorHAnsi"/>
        </w:rPr>
        <w:t xml:space="preserve"> of January. This variation was constant across the three samples (check Appendix </w:t>
      </w:r>
      <w:r w:rsidR="00BA79FA" w:rsidRPr="00BA79FA">
        <w:rPr>
          <w:rFonts w:cstheme="minorHAnsi"/>
          <w:color w:val="FF0000"/>
        </w:rPr>
        <w:t>B</w:t>
      </w:r>
      <w:r w:rsidR="00BA79FA">
        <w:rPr>
          <w:rFonts w:cstheme="minorHAnsi"/>
        </w:rPr>
        <w:t>).</w:t>
      </w:r>
    </w:p>
    <w:p w14:paraId="19EEB6AE" w14:textId="77777777" w:rsidR="00BA79FA" w:rsidRDefault="00BA79FA" w:rsidP="002A3F5B">
      <w:pPr>
        <w:rPr>
          <w:rFonts w:cstheme="minorHAnsi"/>
        </w:rPr>
      </w:pPr>
    </w:p>
    <w:p w14:paraId="1B639183" w14:textId="2577468A" w:rsidR="00BA79FA" w:rsidRDefault="00BA79FA" w:rsidP="002A3F5B">
      <w:pPr>
        <w:rPr>
          <w:rFonts w:cstheme="minorHAnsi"/>
        </w:rPr>
      </w:pPr>
      <w:r>
        <w:rPr>
          <w:rFonts w:cstheme="minorHAnsi"/>
        </w:rPr>
        <w:t xml:space="preserve">Lastly, as in the lichen, active time decreased in February. Moreover, there was a dramatic change in the amount of active hours between the first two summers – with an average of  and the </w:t>
      </w:r>
    </w:p>
    <w:p w14:paraId="01659D3D" w14:textId="77777777" w:rsidR="004C50F7" w:rsidRDefault="004C50F7" w:rsidP="002A3F5B">
      <w:pPr>
        <w:rPr>
          <w:rFonts w:cstheme="minorHAnsi"/>
        </w:rPr>
      </w:pPr>
    </w:p>
    <w:p w14:paraId="4B0397CF" w14:textId="77777777" w:rsidR="00C80379" w:rsidRDefault="00C80379" w:rsidP="002A3F5B">
      <w:pPr>
        <w:rPr>
          <w:rFonts w:cstheme="minorHAnsi"/>
        </w:rPr>
      </w:pPr>
    </w:p>
    <w:p w14:paraId="1B555FFE" w14:textId="77777777" w:rsidR="002A3F5B" w:rsidRDefault="002A3F5B" w:rsidP="002A3F5B">
      <w:pPr>
        <w:rPr>
          <w:rFonts w:cstheme="minorHAnsi"/>
        </w:rPr>
      </w:pPr>
    </w:p>
    <w:p w14:paraId="679C788B" w14:textId="77777777" w:rsidR="002A3F5B" w:rsidRDefault="002A3F5B" w:rsidP="002A3F5B">
      <w:pPr>
        <w:rPr>
          <w:rFonts w:cstheme="minorHAnsi"/>
        </w:rPr>
      </w:pPr>
    </w:p>
    <w:p w14:paraId="60B553B5" w14:textId="77777777" w:rsidR="002A3F5B" w:rsidRPr="002A3F5B" w:rsidRDefault="002A3F5B" w:rsidP="002A3F5B">
      <w:pPr>
        <w:rPr>
          <w:rFonts w:cstheme="minorHAnsi"/>
        </w:rPr>
      </w:pPr>
    </w:p>
    <w:p w14:paraId="4D5A490D" w14:textId="27A5DA1C" w:rsidR="00C17050" w:rsidRDefault="002A3F5B" w:rsidP="00C17050">
      <w:pPr>
        <w:rPr>
          <w:rFonts w:cstheme="minorHAnsi"/>
          <w:u w:val="single"/>
          <w:lang w:val="en-US"/>
        </w:rPr>
      </w:pPr>
      <w:proofErr w:type="gramStart"/>
      <w:r>
        <w:rPr>
          <w:rFonts w:cstheme="minorHAnsi"/>
          <w:u w:val="single"/>
          <w:lang w:val="en-US"/>
        </w:rPr>
        <w:t xml:space="preserve">2.2  </w:t>
      </w:r>
      <w:r w:rsidR="008E0AE2" w:rsidRPr="008E0AE2">
        <w:rPr>
          <w:rFonts w:cstheme="minorHAnsi"/>
          <w:u w:val="single"/>
          <w:lang w:val="en-US"/>
        </w:rPr>
        <w:t>Yield</w:t>
      </w:r>
      <w:proofErr w:type="gramEnd"/>
    </w:p>
    <w:p w14:paraId="31F0F42D" w14:textId="77777777" w:rsidR="002A3F5B" w:rsidRDefault="002A3F5B" w:rsidP="00C17050">
      <w:pPr>
        <w:rPr>
          <w:rFonts w:cstheme="minorHAnsi"/>
          <w:u w:val="single"/>
          <w:lang w:val="en-US"/>
        </w:rPr>
      </w:pPr>
    </w:p>
    <w:p w14:paraId="554C24F3" w14:textId="0CA71A77" w:rsidR="002A3F5B" w:rsidRPr="002A3F5B" w:rsidRDefault="002A3F5B" w:rsidP="00C17050">
      <w:pPr>
        <w:rPr>
          <w:rFonts w:cstheme="minorHAnsi"/>
          <w:lang w:val="en-US"/>
        </w:rPr>
      </w:pPr>
      <w:proofErr w:type="spellStart"/>
      <w:r w:rsidRPr="002A3F5B">
        <w:rPr>
          <w:rFonts w:cstheme="minorHAnsi"/>
          <w:i/>
          <w:iCs/>
          <w:lang w:val="en-US"/>
        </w:rPr>
        <w:t>Austroplaca</w:t>
      </w:r>
      <w:r w:rsidRPr="002A3F5B">
        <w:rPr>
          <w:rFonts w:cstheme="minorHAnsi"/>
          <w:lang w:val="en-US"/>
        </w:rPr>
        <w:t>’s</w:t>
      </w:r>
      <w:proofErr w:type="spellEnd"/>
      <w:r w:rsidRPr="002A3F5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average yield when active was 0.25, which was lower than </w:t>
      </w:r>
      <w:proofErr w:type="spellStart"/>
      <w:r w:rsidRPr="002A3F5B">
        <w:rPr>
          <w:rFonts w:cstheme="minorHAnsi"/>
          <w:i/>
          <w:iCs/>
          <w:lang w:val="en-US"/>
        </w:rPr>
        <w:t>Bryum</w:t>
      </w:r>
      <w:r>
        <w:rPr>
          <w:rFonts w:cstheme="minorHAnsi"/>
          <w:lang w:val="en-US"/>
        </w:rPr>
        <w:t>’s</w:t>
      </w:r>
      <w:proofErr w:type="spellEnd"/>
      <w:r>
        <w:rPr>
          <w:rFonts w:cstheme="minorHAnsi"/>
          <w:lang w:val="en-US"/>
        </w:rPr>
        <w:t xml:space="preserve">, that had an average of 0.35 as showed in the summarized data of Table 1. </w:t>
      </w:r>
    </w:p>
    <w:p w14:paraId="7D303079" w14:textId="77777777" w:rsidR="002A3F5B" w:rsidRPr="008E0AE2" w:rsidRDefault="002A3F5B" w:rsidP="00C17050">
      <w:pPr>
        <w:rPr>
          <w:rFonts w:cstheme="minorHAnsi"/>
          <w:u w:val="single"/>
          <w:lang w:val="en-US"/>
        </w:rPr>
      </w:pPr>
    </w:p>
    <w:p w14:paraId="7E561EAD" w14:textId="161C347C" w:rsidR="00C17050" w:rsidRPr="00845DBC" w:rsidRDefault="00845DBC" w:rsidP="00C17050">
      <w:pPr>
        <w:rPr>
          <w:rFonts w:cstheme="minorHAnsi"/>
          <w:u w:val="single"/>
          <w:lang w:val="en-US"/>
        </w:rPr>
      </w:pPr>
      <w:r w:rsidRPr="00845DBC">
        <w:rPr>
          <w:rFonts w:cstheme="minorHAnsi"/>
          <w:u w:val="single"/>
          <w:lang w:val="en-US"/>
        </w:rPr>
        <w:t>Thallus Temperature</w:t>
      </w:r>
    </w:p>
    <w:p w14:paraId="67D98365" w14:textId="77777777" w:rsidR="00C17050" w:rsidRDefault="00C17050" w:rsidP="00C17050">
      <w:pPr>
        <w:rPr>
          <w:rFonts w:cstheme="minorHAnsi"/>
          <w:lang w:val="en-US"/>
        </w:rPr>
      </w:pPr>
    </w:p>
    <w:p w14:paraId="7B8E1368" w14:textId="77777777" w:rsidR="00C17050" w:rsidRPr="00C17050" w:rsidRDefault="00C17050" w:rsidP="00C17050">
      <w:pPr>
        <w:rPr>
          <w:rFonts w:cstheme="minorHAnsi"/>
          <w:lang w:val="en-US"/>
        </w:rPr>
      </w:pPr>
    </w:p>
    <w:p w14:paraId="01263F08" w14:textId="581C3999" w:rsidR="00896A67" w:rsidRPr="002543CF" w:rsidRDefault="00896A67" w:rsidP="005833D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543CF">
        <w:rPr>
          <w:rFonts w:cstheme="minorHAnsi"/>
          <w:lang w:val="en-US"/>
        </w:rPr>
        <w:t>BEHAVIOUR UNDER SNOW</w:t>
      </w:r>
    </w:p>
    <w:sectPr w:rsidR="00896A67" w:rsidRPr="0025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nhoa Jimenez Molina" w:date="2024-03-15T10:44:00Z" w:initials="AJM">
    <w:p w14:paraId="49FC1899" w14:textId="77777777" w:rsidR="00183953" w:rsidRDefault="00183953" w:rsidP="004047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Cycles</w:t>
      </w:r>
    </w:p>
  </w:comment>
  <w:comment w:id="1" w:author="Ainhoa Jimenez Molina" w:date="2024-03-15T10:44:00Z" w:initials="AJM">
    <w:p w14:paraId="5E21F2C5" w14:textId="124A806F" w:rsidR="00183953" w:rsidRDefault="00183953" w:rsidP="00B6072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PAR</w:t>
      </w:r>
    </w:p>
  </w:comment>
  <w:comment w:id="2" w:author="Ainhoa Jimenez Molina" w:date="2024-03-15T10:43:00Z" w:initials="AJM">
    <w:p w14:paraId="02673B3C" w14:textId="665AF1D3" w:rsidR="00183953" w:rsidRDefault="00183953" w:rsidP="0023422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Temperature</w:t>
      </w:r>
    </w:p>
  </w:comment>
  <w:comment w:id="3" w:author="Ainhoa Jimenez Molina" w:date="2024-03-15T11:06:00Z" w:initials="AJM">
    <w:p w14:paraId="02788224" w14:textId="77777777" w:rsidR="00C17050" w:rsidRDefault="00C17050" w:rsidP="00144C3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Relative Humidity</w:t>
      </w:r>
    </w:p>
  </w:comment>
  <w:comment w:id="4" w:author="Ainhoa Jimenez Molina" w:date="2024-03-15T11:06:00Z" w:initials="AJM">
    <w:p w14:paraId="57776136" w14:textId="77777777" w:rsidR="00C17050" w:rsidRDefault="00C17050" w:rsidP="00D7657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Change over time</w:t>
      </w:r>
    </w:p>
  </w:comment>
  <w:comment w:id="5" w:author="Ainhoa Jimenez Molina" w:date="2024-03-15T13:33:00Z" w:initials="AJM">
    <w:p w14:paraId="02BC79CA" w14:textId="77777777" w:rsidR="00C27E9F" w:rsidRDefault="00C27E9F" w:rsidP="00F61F3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Heatwave</w:t>
      </w:r>
    </w:p>
  </w:comment>
  <w:comment w:id="6" w:author="Ainhoa Jimenez Molina" w:date="2024-03-15T16:56:00Z" w:initials="AJM">
    <w:p w14:paraId="06540E00" w14:textId="77777777" w:rsidR="00C52B28" w:rsidRDefault="00C52B28" w:rsidP="00436C9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Nearly identical annual cycles</w:t>
      </w:r>
    </w:p>
    <w:p w14:paraId="7079D32F" w14:textId="77777777" w:rsidR="00C52B28" w:rsidRDefault="00C52B28" w:rsidP="00436C9A"/>
  </w:comment>
  <w:comment w:id="7" w:author="Ainhoa Jimenez Molina" w:date="2024-03-15T16:56:00Z" w:initials="AJM">
    <w:p w14:paraId="13B0969F" w14:textId="77777777" w:rsidR="00C52B28" w:rsidRDefault="00C52B28" w:rsidP="00AC263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Heatwave</w:t>
      </w:r>
    </w:p>
  </w:comment>
  <w:comment w:id="8" w:author="Ainhoa Jimenez Molina" w:date="2024-03-15T17:37:00Z" w:initials="AJM">
    <w:p w14:paraId="3DB44203" w14:textId="77777777" w:rsidR="001253D5" w:rsidRDefault="001253D5" w:rsidP="00B87B5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Overall activity</w:t>
      </w:r>
    </w:p>
  </w:comment>
  <w:comment w:id="9" w:author="Ainhoa Jimenez Molina" w:date="2024-03-15T17:38:00Z" w:initials="AJM">
    <w:p w14:paraId="1EE57AA4" w14:textId="77777777" w:rsidR="001253D5" w:rsidRDefault="001253D5" w:rsidP="00F915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Activation </w:t>
      </w:r>
    </w:p>
  </w:comment>
  <w:comment w:id="10" w:author="Ainhoa Jimenez Molina" w:date="2024-03-15T19:14:00Z" w:initials="AJM">
    <w:p w14:paraId="4A601834" w14:textId="77777777" w:rsidR="004C50F7" w:rsidRDefault="004C50F7" w:rsidP="0020719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As showcased in the data summarised in table 3</w:t>
      </w:r>
    </w:p>
  </w:comment>
  <w:comment w:id="11" w:author="Ainhoa Jimenez Molina" w:date="2024-03-15T17:41:00Z" w:initials="AJM">
    <w:p w14:paraId="3A318090" w14:textId="2C591FB1" w:rsidR="001253D5" w:rsidRDefault="001253D5" w:rsidP="00721A6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Peak activity</w:t>
      </w:r>
    </w:p>
  </w:comment>
  <w:comment w:id="12" w:author="Ainhoa Jimenez Molina" w:date="2024-03-15T17:46:00Z" w:initials="AJM">
    <w:p w14:paraId="3753A0E9" w14:textId="77777777" w:rsidR="002A3F5B" w:rsidRDefault="002A3F5B" w:rsidP="001813D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Desiccation</w:t>
      </w:r>
    </w:p>
  </w:comment>
  <w:comment w:id="13" w:author="Ainhoa Jimenez Molina" w:date="2024-03-15T19:19:00Z" w:initials="AJM">
    <w:p w14:paraId="26F358CE" w14:textId="77777777" w:rsidR="0039197B" w:rsidRDefault="0039197B" w:rsidP="009E02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 As shown in Table 3. In 2023 it dried the 11th of January, resulting in no activity during the month of February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C1899" w15:done="0"/>
  <w15:commentEx w15:paraId="5E21F2C5" w15:done="0"/>
  <w15:commentEx w15:paraId="02673B3C" w15:done="0"/>
  <w15:commentEx w15:paraId="02788224" w15:done="0"/>
  <w15:commentEx w15:paraId="57776136" w15:done="0"/>
  <w15:commentEx w15:paraId="02BC79CA" w15:done="0"/>
  <w15:commentEx w15:paraId="7079D32F" w15:done="0"/>
  <w15:commentEx w15:paraId="13B0969F" w15:done="0"/>
  <w15:commentEx w15:paraId="3DB44203" w15:done="0"/>
  <w15:commentEx w15:paraId="1EE57AA4" w15:done="0"/>
  <w15:commentEx w15:paraId="4A601834" w15:done="0"/>
  <w15:commentEx w15:paraId="3A318090" w15:done="0"/>
  <w15:commentEx w15:paraId="3753A0E9" w15:done="0"/>
  <w15:commentEx w15:paraId="26F358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EA4FB" w16cex:dateUtc="2024-03-15T10:44:00Z"/>
  <w16cex:commentExtensible w16cex:durableId="299EA4F2" w16cex:dateUtc="2024-03-15T10:44:00Z"/>
  <w16cex:commentExtensible w16cex:durableId="299EA4E4" w16cex:dateUtc="2024-03-15T10:43:00Z"/>
  <w16cex:commentExtensible w16cex:durableId="299EAA37" w16cex:dateUtc="2024-03-15T11:06:00Z"/>
  <w16cex:commentExtensible w16cex:durableId="299EAA44" w16cex:dateUtc="2024-03-15T11:06:00Z"/>
  <w16cex:commentExtensible w16cex:durableId="299ECCBD" w16cex:dateUtc="2024-03-15T13:33:00Z"/>
  <w16cex:commentExtensible w16cex:durableId="299EFC48" w16cex:dateUtc="2024-03-15T16:56:00Z"/>
  <w16cex:commentExtensible w16cex:durableId="299EFC53" w16cex:dateUtc="2024-03-15T16:56:00Z"/>
  <w16cex:commentExtensible w16cex:durableId="299F05EC" w16cex:dateUtc="2024-03-15T17:37:00Z"/>
  <w16cex:commentExtensible w16cex:durableId="299F060F" w16cex:dateUtc="2024-03-15T17:38:00Z"/>
  <w16cex:commentExtensible w16cex:durableId="299F1C84" w16cex:dateUtc="2024-03-15T19:14:00Z"/>
  <w16cex:commentExtensible w16cex:durableId="299F06CE" w16cex:dateUtc="2024-03-15T17:41:00Z"/>
  <w16cex:commentExtensible w16cex:durableId="299F07E0" w16cex:dateUtc="2024-03-15T17:46:00Z"/>
  <w16cex:commentExtensible w16cex:durableId="299F1DB2" w16cex:dateUtc="2024-03-15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C1899" w16cid:durableId="299EA4FB"/>
  <w16cid:commentId w16cid:paraId="5E21F2C5" w16cid:durableId="299EA4F2"/>
  <w16cid:commentId w16cid:paraId="02673B3C" w16cid:durableId="299EA4E4"/>
  <w16cid:commentId w16cid:paraId="02788224" w16cid:durableId="299EAA37"/>
  <w16cid:commentId w16cid:paraId="57776136" w16cid:durableId="299EAA44"/>
  <w16cid:commentId w16cid:paraId="02BC79CA" w16cid:durableId="299ECCBD"/>
  <w16cid:commentId w16cid:paraId="7079D32F" w16cid:durableId="299EFC48"/>
  <w16cid:commentId w16cid:paraId="13B0969F" w16cid:durableId="299EFC53"/>
  <w16cid:commentId w16cid:paraId="3DB44203" w16cid:durableId="299F05EC"/>
  <w16cid:commentId w16cid:paraId="1EE57AA4" w16cid:durableId="299F060F"/>
  <w16cid:commentId w16cid:paraId="4A601834" w16cid:durableId="299F1C84"/>
  <w16cid:commentId w16cid:paraId="3A318090" w16cid:durableId="299F06CE"/>
  <w16cid:commentId w16cid:paraId="3753A0E9" w16cid:durableId="299F07E0"/>
  <w16cid:commentId w16cid:paraId="26F358CE" w16cid:durableId="299F1D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3217"/>
    <w:multiLevelType w:val="hybridMultilevel"/>
    <w:tmpl w:val="8DA0D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F93"/>
    <w:multiLevelType w:val="multilevel"/>
    <w:tmpl w:val="3EB64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5C3C34"/>
    <w:multiLevelType w:val="hybridMultilevel"/>
    <w:tmpl w:val="CC929D5A"/>
    <w:lvl w:ilvl="0" w:tplc="309633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C84816"/>
    <w:multiLevelType w:val="multilevel"/>
    <w:tmpl w:val="3D70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20034366">
    <w:abstractNumId w:val="0"/>
  </w:num>
  <w:num w:numId="2" w16cid:durableId="1765497338">
    <w:abstractNumId w:val="2"/>
  </w:num>
  <w:num w:numId="3" w16cid:durableId="43411033">
    <w:abstractNumId w:val="3"/>
  </w:num>
  <w:num w:numId="4" w16cid:durableId="13472491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nhoa Jimenez Molina">
    <w15:presenceInfo w15:providerId="AD" w15:userId="S::s2096910@ed.ac.uk::4e103288-d910-47a1-b040-8e0385edd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82"/>
    <w:rsid w:val="00013585"/>
    <w:rsid w:val="00020C4F"/>
    <w:rsid w:val="00045CA2"/>
    <w:rsid w:val="000577FC"/>
    <w:rsid w:val="00057ACC"/>
    <w:rsid w:val="000874B6"/>
    <w:rsid w:val="0009158A"/>
    <w:rsid w:val="00093EAD"/>
    <w:rsid w:val="00097037"/>
    <w:rsid w:val="000A1F75"/>
    <w:rsid w:val="000B6100"/>
    <w:rsid w:val="00123F5E"/>
    <w:rsid w:val="00124764"/>
    <w:rsid w:val="001253D5"/>
    <w:rsid w:val="00125AE2"/>
    <w:rsid w:val="00126B24"/>
    <w:rsid w:val="0013082E"/>
    <w:rsid w:val="00166007"/>
    <w:rsid w:val="00183953"/>
    <w:rsid w:val="001F6C7A"/>
    <w:rsid w:val="001F7986"/>
    <w:rsid w:val="00230914"/>
    <w:rsid w:val="0023645A"/>
    <w:rsid w:val="00247169"/>
    <w:rsid w:val="0025176E"/>
    <w:rsid w:val="002543CF"/>
    <w:rsid w:val="00281BB4"/>
    <w:rsid w:val="00286F6B"/>
    <w:rsid w:val="00292836"/>
    <w:rsid w:val="002A3F5B"/>
    <w:rsid w:val="002A46C8"/>
    <w:rsid w:val="002A5D8A"/>
    <w:rsid w:val="002D2904"/>
    <w:rsid w:val="002F080E"/>
    <w:rsid w:val="00317112"/>
    <w:rsid w:val="00343CE6"/>
    <w:rsid w:val="0039197B"/>
    <w:rsid w:val="003A26D1"/>
    <w:rsid w:val="003A7B51"/>
    <w:rsid w:val="003B089B"/>
    <w:rsid w:val="003C2F33"/>
    <w:rsid w:val="003D7FE0"/>
    <w:rsid w:val="003E67A0"/>
    <w:rsid w:val="00406BC1"/>
    <w:rsid w:val="00412896"/>
    <w:rsid w:val="004212D2"/>
    <w:rsid w:val="00462FC4"/>
    <w:rsid w:val="0048459E"/>
    <w:rsid w:val="00486172"/>
    <w:rsid w:val="004C50F7"/>
    <w:rsid w:val="004D3D91"/>
    <w:rsid w:val="004E658A"/>
    <w:rsid w:val="004F07C0"/>
    <w:rsid w:val="005007B6"/>
    <w:rsid w:val="00515842"/>
    <w:rsid w:val="00525FA4"/>
    <w:rsid w:val="00531CB9"/>
    <w:rsid w:val="0055535E"/>
    <w:rsid w:val="005814AA"/>
    <w:rsid w:val="005833D1"/>
    <w:rsid w:val="00585CEA"/>
    <w:rsid w:val="005975CB"/>
    <w:rsid w:val="005A1E5F"/>
    <w:rsid w:val="005C5E1E"/>
    <w:rsid w:val="00605DAC"/>
    <w:rsid w:val="00613988"/>
    <w:rsid w:val="006218B2"/>
    <w:rsid w:val="00631D08"/>
    <w:rsid w:val="006711B5"/>
    <w:rsid w:val="006B50D0"/>
    <w:rsid w:val="006C645F"/>
    <w:rsid w:val="006E7D82"/>
    <w:rsid w:val="006F17EF"/>
    <w:rsid w:val="00700A1A"/>
    <w:rsid w:val="0072565E"/>
    <w:rsid w:val="00731532"/>
    <w:rsid w:val="00731D96"/>
    <w:rsid w:val="00764795"/>
    <w:rsid w:val="00797504"/>
    <w:rsid w:val="007F0DAB"/>
    <w:rsid w:val="007F56D0"/>
    <w:rsid w:val="007F7398"/>
    <w:rsid w:val="00845DBC"/>
    <w:rsid w:val="0084657C"/>
    <w:rsid w:val="00867C3F"/>
    <w:rsid w:val="00872C77"/>
    <w:rsid w:val="00893F5D"/>
    <w:rsid w:val="00896A67"/>
    <w:rsid w:val="008A4BC9"/>
    <w:rsid w:val="008A782D"/>
    <w:rsid w:val="008E0AE2"/>
    <w:rsid w:val="008E7049"/>
    <w:rsid w:val="008F5845"/>
    <w:rsid w:val="00922010"/>
    <w:rsid w:val="009273C4"/>
    <w:rsid w:val="00985920"/>
    <w:rsid w:val="00992CC3"/>
    <w:rsid w:val="0099326F"/>
    <w:rsid w:val="009B4803"/>
    <w:rsid w:val="009B72A7"/>
    <w:rsid w:val="009C52BC"/>
    <w:rsid w:val="009D0327"/>
    <w:rsid w:val="009D53E3"/>
    <w:rsid w:val="009E1665"/>
    <w:rsid w:val="009F5FE4"/>
    <w:rsid w:val="00A216BA"/>
    <w:rsid w:val="00A33786"/>
    <w:rsid w:val="00A45019"/>
    <w:rsid w:val="00A57BCC"/>
    <w:rsid w:val="00A6104A"/>
    <w:rsid w:val="00A70CB8"/>
    <w:rsid w:val="00A80E11"/>
    <w:rsid w:val="00A95FD7"/>
    <w:rsid w:val="00B127D0"/>
    <w:rsid w:val="00B12D9E"/>
    <w:rsid w:val="00B42BE0"/>
    <w:rsid w:val="00B50344"/>
    <w:rsid w:val="00B53EF8"/>
    <w:rsid w:val="00B9609C"/>
    <w:rsid w:val="00BA79FA"/>
    <w:rsid w:val="00BC453A"/>
    <w:rsid w:val="00BC5180"/>
    <w:rsid w:val="00BD383D"/>
    <w:rsid w:val="00BE5B87"/>
    <w:rsid w:val="00C001FF"/>
    <w:rsid w:val="00C04D28"/>
    <w:rsid w:val="00C120A2"/>
    <w:rsid w:val="00C17050"/>
    <w:rsid w:val="00C20FD0"/>
    <w:rsid w:val="00C23DD1"/>
    <w:rsid w:val="00C27100"/>
    <w:rsid w:val="00C27E9F"/>
    <w:rsid w:val="00C3168A"/>
    <w:rsid w:val="00C35F6E"/>
    <w:rsid w:val="00C52B28"/>
    <w:rsid w:val="00C70104"/>
    <w:rsid w:val="00C723A4"/>
    <w:rsid w:val="00C80379"/>
    <w:rsid w:val="00CA0123"/>
    <w:rsid w:val="00CD271B"/>
    <w:rsid w:val="00CF11E3"/>
    <w:rsid w:val="00D25A6E"/>
    <w:rsid w:val="00D72632"/>
    <w:rsid w:val="00DA755B"/>
    <w:rsid w:val="00DF022B"/>
    <w:rsid w:val="00E04873"/>
    <w:rsid w:val="00E055C7"/>
    <w:rsid w:val="00E0661E"/>
    <w:rsid w:val="00E10D44"/>
    <w:rsid w:val="00E26C16"/>
    <w:rsid w:val="00E56EC2"/>
    <w:rsid w:val="00EB34A4"/>
    <w:rsid w:val="00EB780D"/>
    <w:rsid w:val="00EC404D"/>
    <w:rsid w:val="00EC609B"/>
    <w:rsid w:val="00F007BE"/>
    <w:rsid w:val="00F16339"/>
    <w:rsid w:val="00F27953"/>
    <w:rsid w:val="00F34322"/>
    <w:rsid w:val="00F3589B"/>
    <w:rsid w:val="00F527A4"/>
    <w:rsid w:val="00F6109C"/>
    <w:rsid w:val="00F624AC"/>
    <w:rsid w:val="00F72F30"/>
    <w:rsid w:val="00F8221A"/>
    <w:rsid w:val="00F94861"/>
    <w:rsid w:val="00FA3BFF"/>
    <w:rsid w:val="00FB7DA7"/>
    <w:rsid w:val="00FD5192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D1E"/>
  <w15:chartTrackingRefBased/>
  <w15:docId w15:val="{D2D2B672-17F2-8945-BB9F-98EC0299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839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9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9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9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9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Jimenez Molina</dc:creator>
  <cp:keywords/>
  <dc:description/>
  <cp:lastModifiedBy>Ainhoa Jimenez Molina</cp:lastModifiedBy>
  <cp:revision>2</cp:revision>
  <dcterms:created xsi:type="dcterms:W3CDTF">2024-03-17T19:50:00Z</dcterms:created>
  <dcterms:modified xsi:type="dcterms:W3CDTF">2024-03-17T19:50:00Z</dcterms:modified>
</cp:coreProperties>
</file>