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8E344D">
      <w:pPr>
        <w:spacing w:before="0" w:after="20" w:line="269" w:lineRule="auto"/>
        <w:jc w:val="center"/>
      </w:pPr>
      <w:r>
        <w:rPr>
          <w:rFonts w:ascii="Arial" w:hAnsi="Arial" w:eastAsia="黑体"/>
          <w:b/>
          <w:color w:val="1A1A1A"/>
          <w:sz w:val="30"/>
        </w:rPr>
        <w:t>双动赋能双驱育心 SaaS 平台</w:t>
      </w:r>
    </w:p>
    <w:p w14:paraId="0D3DFB6C">
      <w:pPr>
        <w:spacing w:before="0" w:after="40" w:line="269" w:lineRule="auto"/>
        <w:jc w:val="center"/>
      </w:pPr>
      <w:r>
        <w:rPr>
          <w:rFonts w:ascii="Arial" w:hAnsi="Arial" w:eastAsia="黑体"/>
          <w:b/>
          <w:color w:val="C02A2A"/>
          <w:sz w:val="25"/>
        </w:rPr>
        <w:t>轻量级系统：技术设计参数与功能设计参数</w:t>
      </w:r>
    </w:p>
    <w:p w14:paraId="54D6F106">
      <w:pPr>
        <w:spacing w:before="0" w:after="60" w:line="269" w:lineRule="auto"/>
        <w:jc w:val="center"/>
      </w:pPr>
      <w:r>
        <w:rPr>
          <w:rFonts w:ascii="Times New Roman" w:hAnsi="Times New Roman" w:eastAsia="宋体"/>
          <w:b w:val="0"/>
          <w:color w:val="595959"/>
          <w:sz w:val="16"/>
        </w:rPr>
        <w:t>版本 V2.1｜MVP 一期聚焦“采集→计算→核定→发布→预警”闭环，二期扩展智慧树/国家平台、学生端镜像、量化归因｜完整版见《技术需求规格说明书》</w:t>
      </w:r>
    </w:p>
    <w:p w14:paraId="28AED4B7">
      <w:pPr>
        <w:spacing w:before="100" w:after="40"/>
      </w:pPr>
      <w:r>
        <w:rPr>
          <w:rFonts w:ascii="Arial" w:hAnsi="Arial" w:eastAsia="黑体"/>
          <w:b/>
          <w:color w:val="1A4A7A"/>
          <w:sz w:val="23"/>
        </w:rPr>
        <w:t>一、产品定位与边界</w:t>
      </w:r>
    </w:p>
    <w:p w14:paraId="1F2CEC6F">
      <w:pPr>
        <w:spacing w:before="0" w:after="40" w:line="269" w:lineRule="auto"/>
        <w:ind w:firstLine="360"/>
      </w:pPr>
      <w:r>
        <w:rPr>
          <w:rFonts w:ascii="Times New Roman" w:hAnsi="Times New Roman" w:eastAsia="宋体"/>
          <w:b w:val="0"/>
          <w:color w:val="1A1A1A"/>
          <w:sz w:val="18"/>
        </w:rPr>
        <w:t>雨课堂、学习通、智慧树及国家智慧教育平台（高教/职教版）是智慧学习的“信息化高速铁路”；本系统是奔跑其上的“导航仪＋救护车”双形态——有自纠能力的学生给“导航仪”（自主驾驶、看成长曲线），持续困难的学生给“救护车”（教师一对一、心理转介）。不做竞争者，只补“评价、导航、救治”环节，二者共生非竞争。</w:t>
      </w:r>
    </w:p>
    <w:p w14:paraId="10022B93">
      <w:pPr>
        <w:spacing w:before="0" w:after="40" w:line="269" w:lineRule="auto"/>
        <w:ind w:firstLine="360"/>
      </w:pPr>
      <w:r>
        <w:rPr>
          <w:rFonts w:ascii="Times New Roman" w:hAnsi="Times New Roman" w:eastAsia="宋体"/>
          <w:b w:val="0"/>
          <w:color w:val="1A1A1A"/>
          <w:sz w:val="18"/>
        </w:rPr>
        <w:t>边界：① 数据权威源始终为各平台，本系统只采集→加工→回写；② 不重复实现教学功能；③ 心理危机处置主体为校心理健康中心，本系统只预警/转介/留痕；④ 不向学生直接发布心理评价结果（静默通道）；⑤ 评价结果默认低利害，不作排名评优（低利害铁律，见七）。</w:t>
      </w:r>
    </w:p>
    <w:p w14:paraId="33F429A1">
      <w:pPr>
        <w:spacing w:before="100" w:after="40"/>
      </w:pPr>
      <w:r>
        <w:rPr>
          <w:rFonts w:ascii="Arial" w:hAnsi="Arial" w:eastAsia="黑体"/>
          <w:b/>
          <w:color w:val="1A4A7A"/>
          <w:sz w:val="23"/>
        </w:rPr>
        <w:t>二、总体技术架构</w:t>
      </w:r>
    </w:p>
    <w:p w14:paraId="1F4DD0DA">
      <w:pPr>
        <w:spacing w:before="0" w:after="40" w:line="269" w:lineRule="auto"/>
        <w:ind w:firstLine="360"/>
      </w:pPr>
      <w:r>
        <w:rPr>
          <w:rFonts w:ascii="Times New Roman" w:hAnsi="Times New Roman" w:eastAsia="宋体"/>
          <w:b w:val="0"/>
          <w:color w:val="1A1A1A"/>
          <w:sz w:val="18"/>
        </w:rPr>
        <w:t>分层：① 数据适配层（多平台统一口径映射＋接口降级）；② 计算引擎层（双动态成绩＋三缺失画像＋增值引擎）；③ 业务层（核定、发布、预警、育心工作流）；④ 应用层（教师端/学生端）。技术栈：微服务＋多租户（按校/院隔离），后端 Java/Go 或等效，前端 Web＋移动端，关系库＋时序库，缓存＋消息队列，KMS 密钥管理，等保三级。</w:t>
      </w:r>
    </w:p>
    <w:p w14:paraId="3C364A3A">
      <w:pPr>
        <w:spacing w:before="100" w:after="40"/>
      </w:pPr>
      <w:r>
        <w:rPr>
          <w:rFonts w:ascii="Arial" w:hAnsi="Arial" w:eastAsia="黑体"/>
          <w:b/>
          <w:color w:val="1A4A7A"/>
          <w:sz w:val="23"/>
        </w:rPr>
        <w:t>三、数据对接技术参数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2154"/>
        <w:gridCol w:w="2608"/>
        <w:gridCol w:w="2608"/>
      </w:tblGrid>
      <w:tr w14:paraId="23C283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Borders>
              <w:top w:val="single" w:color="000000" w:sz="12" w:space="0"/>
              <w:bottom w:val="single" w:color="000000" w:sz="12" w:space="0"/>
            </w:tcBorders>
          </w:tcPr>
          <w:p w14:paraId="650223B4">
            <w:pPr>
              <w:spacing w:after="20"/>
              <w:jc w:val="center"/>
            </w:pPr>
            <w:r>
              <w:rPr>
                <w:rFonts w:ascii="Arial" w:hAnsi="Arial" w:eastAsia="黑体"/>
                <w:b/>
                <w:color w:val="1A1A1A"/>
                <w:sz w:val="17"/>
              </w:rPr>
              <w:t>对接平台</w:t>
            </w:r>
          </w:p>
        </w:tc>
        <w:tc>
          <w:tcPr>
            <w:tcW w:w="2154" w:type="dxa"/>
            <w:tcBorders>
              <w:top w:val="single" w:color="000000" w:sz="12" w:space="0"/>
              <w:bottom w:val="single" w:color="000000" w:sz="12" w:space="0"/>
            </w:tcBorders>
          </w:tcPr>
          <w:p w14:paraId="75AB5F30">
            <w:pPr>
              <w:spacing w:after="20"/>
              <w:jc w:val="center"/>
            </w:pPr>
            <w:r>
              <w:rPr>
                <w:rFonts w:ascii="Arial" w:hAnsi="Arial" w:eastAsia="黑体"/>
                <w:b/>
                <w:color w:val="1A1A1A"/>
                <w:sz w:val="17"/>
              </w:rPr>
              <w:t>对接方式</w:t>
            </w:r>
          </w:p>
        </w:tc>
        <w:tc>
          <w:tcPr>
            <w:tcW w:w="2608" w:type="dxa"/>
            <w:tcBorders>
              <w:top w:val="single" w:color="000000" w:sz="12" w:space="0"/>
              <w:bottom w:val="single" w:color="000000" w:sz="12" w:space="0"/>
            </w:tcBorders>
          </w:tcPr>
          <w:p w14:paraId="706B89F5">
            <w:pPr>
              <w:spacing w:after="20"/>
              <w:jc w:val="center"/>
            </w:pPr>
            <w:r>
              <w:rPr>
                <w:rFonts w:ascii="Arial" w:hAnsi="Arial" w:eastAsia="黑体"/>
                <w:b/>
                <w:color w:val="1A1A1A"/>
                <w:sz w:val="17"/>
              </w:rPr>
              <w:t>采集字段（即时累计发放口径）</w:t>
            </w:r>
          </w:p>
        </w:tc>
        <w:tc>
          <w:tcPr>
            <w:tcW w:w="2608" w:type="dxa"/>
            <w:tcBorders>
              <w:top w:val="single" w:color="000000" w:sz="12" w:space="0"/>
              <w:bottom w:val="single" w:color="000000" w:sz="12" w:space="0"/>
            </w:tcBorders>
          </w:tcPr>
          <w:p w14:paraId="10E98CC7">
            <w:pPr>
              <w:spacing w:after="20"/>
              <w:jc w:val="center"/>
            </w:pPr>
            <w:r>
              <w:rPr>
                <w:rFonts w:ascii="Arial" w:hAnsi="Arial" w:eastAsia="黑体"/>
                <w:b/>
                <w:color w:val="1A1A1A"/>
                <w:sz w:val="17"/>
              </w:rPr>
              <w:t>适配要点</w:t>
            </w:r>
          </w:p>
        </w:tc>
      </w:tr>
      <w:tr w14:paraId="55B18D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5940CEBB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雨课堂</w:t>
            </w:r>
          </w:p>
        </w:tc>
        <w:tc>
          <w:tcPr>
            <w:tcW w:w="2154" w:type="dxa"/>
          </w:tcPr>
          <w:p w14:paraId="57D1E338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官方开放接口＋成绩册模板兜底</w:t>
            </w:r>
          </w:p>
        </w:tc>
        <w:tc>
          <w:tcPr>
            <w:tcW w:w="2608" w:type="dxa"/>
          </w:tcPr>
          <w:p w14:paraId="6EC43C7C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课程总分/课件总页数/公告总条数/视频总时长/互动次数</w:t>
            </w:r>
          </w:p>
        </w:tc>
        <w:tc>
          <w:tcPr>
            <w:tcW w:w="2608" w:type="dxa"/>
          </w:tcPr>
          <w:p w14:paraId="76FE0596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原生字段天然对齐</w:t>
            </w:r>
          </w:p>
        </w:tc>
      </w:tr>
      <w:tr w14:paraId="19A163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553C6F86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超星学习通</w:t>
            </w:r>
          </w:p>
        </w:tc>
        <w:tc>
          <w:tcPr>
            <w:tcW w:w="2154" w:type="dxa"/>
          </w:tcPr>
          <w:p w14:paraId="3C2A24D0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open.chaoxing.com（APP ID/KEY＋routeId）</w:t>
            </w:r>
          </w:p>
        </w:tc>
        <w:tc>
          <w:tcPr>
            <w:tcW w:w="2608" w:type="dxa"/>
          </w:tcPr>
          <w:p w14:paraId="4FA2BF9A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同上</w:t>
            </w:r>
          </w:p>
        </w:tc>
        <w:tc>
          <w:tcPr>
            <w:tcW w:w="2608" w:type="dxa"/>
          </w:tcPr>
          <w:p w14:paraId="2E660FEA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任务点→页数映射</w:t>
            </w:r>
          </w:p>
        </w:tc>
      </w:tr>
      <w:tr w14:paraId="071D9C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2B3040C4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智慧树（二期）</w:t>
            </w:r>
          </w:p>
        </w:tc>
        <w:tc>
          <w:tcPr>
            <w:tcW w:w="2154" w:type="dxa"/>
          </w:tcPr>
          <w:p w14:paraId="0EB21FBC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校内 hike＋知到 studyservice 两套接口</w:t>
            </w:r>
          </w:p>
        </w:tc>
        <w:tc>
          <w:tcPr>
            <w:tcW w:w="2608" w:type="dxa"/>
          </w:tcPr>
          <w:p w14:paraId="3782A3B9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同上</w:t>
            </w:r>
          </w:p>
        </w:tc>
        <w:tc>
          <w:tcPr>
            <w:tcW w:w="2608" w:type="dxa"/>
          </w:tcPr>
          <w:p w14:paraId="3E706E7E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无“页数/公告条数”字段，章节→页数映射；公告因子缺失时降级</w:t>
            </w:r>
          </w:p>
        </w:tc>
      </w:tr>
      <w:tr w14:paraId="2C0CFA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Borders>
              <w:bottom w:val="single" w:color="000000" w:sz="12" w:space="0"/>
            </w:tcBorders>
          </w:tcPr>
          <w:p w14:paraId="4B149501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国家智慧教育平台（二期）</w:t>
            </w:r>
          </w:p>
        </w:tc>
        <w:tc>
          <w:tcPr>
            <w:tcW w:w="2154" w:type="dxa"/>
            <w:tcBorders>
              <w:bottom w:val="single" w:color="000000" w:sz="12" w:space="0"/>
            </w:tcBorders>
          </w:tcPr>
          <w:p w14:paraId="389F4042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OAuth2.0（高教/职教双轨）</w:t>
            </w:r>
          </w:p>
        </w:tc>
        <w:tc>
          <w:tcPr>
            <w:tcW w:w="2608" w:type="dxa"/>
            <w:tcBorders>
              <w:bottom w:val="single" w:color="000000" w:sz="12" w:space="0"/>
            </w:tcBorders>
          </w:tcPr>
          <w:p w14:paraId="001E37F9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同上</w:t>
            </w:r>
          </w:p>
        </w:tc>
        <w:tc>
          <w:tcPr>
            <w:tcW w:w="2608" w:type="dxa"/>
            <w:tcBorders>
              <w:bottom w:val="single" w:color="000000" w:sz="12" w:space="0"/>
            </w:tcBorders>
          </w:tcPr>
          <w:p w14:paraId="1EF9754F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白名单注册＋数据签名＋流控；机构类型自动分流</w:t>
            </w:r>
          </w:p>
        </w:tc>
      </w:tr>
    </w:tbl>
    <w:p w14:paraId="75F2225C">
      <w:pPr>
        <w:spacing w:after="0"/>
      </w:pPr>
    </w:p>
    <w:p w14:paraId="16E9255E">
      <w:pPr>
        <w:spacing w:before="0" w:after="40" w:line="269" w:lineRule="auto"/>
        <w:ind w:firstLine="360"/>
      </w:pPr>
      <w:r>
        <w:rPr>
          <w:rFonts w:ascii="Times New Roman" w:hAnsi="Times New Roman" w:eastAsia="宋体"/>
          <w:b w:val="0"/>
          <w:color w:val="1A1A1A"/>
          <w:sz w:val="18"/>
        </w:rPr>
        <w:t>同步：单班一键采集＋成绩刷新 ≤3 分钟（P95）；单平台接口不可用自动降级 Excel 模板导入，不中断服务；增量＋全量双通道，支持无动态/单动态/双动态三组标记。</w:t>
      </w:r>
    </w:p>
    <w:p w14:paraId="1AF27112">
      <w:pPr>
        <w:spacing w:before="100" w:after="40"/>
      </w:pPr>
      <w:r>
        <w:rPr>
          <w:rFonts w:ascii="Arial" w:hAnsi="Arial" w:eastAsia="黑体"/>
          <w:b/>
          <w:color w:val="1A4A7A"/>
          <w:sz w:val="23"/>
        </w:rPr>
        <w:t>四、双动态成绩引擎核心算法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3742"/>
        <w:gridCol w:w="1984"/>
      </w:tblGrid>
      <w:tr w14:paraId="1A5063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000000" w:sz="12" w:space="0"/>
              <w:bottom w:val="single" w:color="000000" w:sz="12" w:space="0"/>
            </w:tcBorders>
          </w:tcPr>
          <w:p w14:paraId="5C6EA243">
            <w:pPr>
              <w:spacing w:after="20"/>
              <w:jc w:val="center"/>
            </w:pPr>
            <w:r>
              <w:rPr>
                <w:rFonts w:ascii="Arial" w:hAnsi="Arial" w:eastAsia="黑体"/>
                <w:b/>
                <w:color w:val="1A1A1A"/>
                <w:sz w:val="17"/>
              </w:rPr>
              <w:t>原始数据（分母）</w:t>
            </w:r>
          </w:p>
        </w:tc>
        <w:tc>
          <w:tcPr>
            <w:tcW w:w="1701" w:type="dxa"/>
            <w:tcBorders>
              <w:top w:val="single" w:color="000000" w:sz="12" w:space="0"/>
              <w:bottom w:val="single" w:color="000000" w:sz="12" w:space="0"/>
            </w:tcBorders>
          </w:tcPr>
          <w:p w14:paraId="28F5D27F">
            <w:pPr>
              <w:spacing w:after="20"/>
              <w:jc w:val="center"/>
            </w:pPr>
            <w:r>
              <w:rPr>
                <w:rFonts w:ascii="Arial" w:hAnsi="Arial" w:eastAsia="黑体"/>
                <w:b/>
                <w:color w:val="1A1A1A"/>
                <w:sz w:val="17"/>
              </w:rPr>
              <w:t>学生侧（分子）</w:t>
            </w:r>
          </w:p>
        </w:tc>
        <w:tc>
          <w:tcPr>
            <w:tcW w:w="3742" w:type="dxa"/>
            <w:tcBorders>
              <w:top w:val="single" w:color="000000" w:sz="12" w:space="0"/>
              <w:bottom w:val="single" w:color="000000" w:sz="12" w:space="0"/>
            </w:tcBorders>
          </w:tcPr>
          <w:p w14:paraId="3E4B93FD">
            <w:pPr>
              <w:spacing w:after="20"/>
              <w:jc w:val="center"/>
            </w:pPr>
            <w:r>
              <w:rPr>
                <w:rFonts w:ascii="Arial" w:hAnsi="Arial" w:eastAsia="黑体"/>
                <w:b/>
                <w:color w:val="1A1A1A"/>
                <w:sz w:val="17"/>
              </w:rPr>
              <w:t>派生系数</w:t>
            </w:r>
          </w:p>
        </w:tc>
        <w:tc>
          <w:tcPr>
            <w:tcW w:w="1984" w:type="dxa"/>
            <w:tcBorders>
              <w:top w:val="single" w:color="000000" w:sz="12" w:space="0"/>
              <w:bottom w:val="single" w:color="000000" w:sz="12" w:space="0"/>
            </w:tcBorders>
          </w:tcPr>
          <w:p w14:paraId="151DB92A">
            <w:pPr>
              <w:spacing w:after="20"/>
              <w:jc w:val="center"/>
            </w:pPr>
            <w:r>
              <w:rPr>
                <w:rFonts w:ascii="Arial" w:hAnsi="Arial" w:eastAsia="黑体"/>
                <w:b/>
                <w:color w:val="1A1A1A"/>
                <w:sz w:val="17"/>
              </w:rPr>
              <w:t>用途</w:t>
            </w:r>
          </w:p>
        </w:tc>
      </w:tr>
      <w:tr w14:paraId="64A0F2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3B70E72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课程总分</w:t>
            </w:r>
          </w:p>
        </w:tc>
        <w:tc>
          <w:tcPr>
            <w:tcW w:w="1701" w:type="dxa"/>
          </w:tcPr>
          <w:p w14:paraId="16AF17D2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学生实得分</w:t>
            </w:r>
          </w:p>
        </w:tc>
        <w:tc>
          <w:tcPr>
            <w:tcW w:w="3742" w:type="dxa"/>
          </w:tcPr>
          <w:p w14:paraId="3FDD6A8E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课程百分得分＝实得分÷总分×100（[0,100]）</w:t>
            </w:r>
          </w:p>
        </w:tc>
        <w:tc>
          <w:tcPr>
            <w:tcW w:w="1984" w:type="dxa"/>
          </w:tcPr>
          <w:p w14:paraId="63704E28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进 IDG</w:t>
            </w:r>
          </w:p>
        </w:tc>
      </w:tr>
      <w:tr w14:paraId="41CAF2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4772B8D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课件总页数</w:t>
            </w:r>
          </w:p>
        </w:tc>
        <w:tc>
          <w:tcPr>
            <w:tcW w:w="1701" w:type="dxa"/>
          </w:tcPr>
          <w:p w14:paraId="28CC5926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有效阅读页数＋有效交互</w:t>
            </w:r>
          </w:p>
        </w:tc>
        <w:tc>
          <w:tcPr>
            <w:tcW w:w="3742" w:type="dxa"/>
          </w:tcPr>
          <w:p w14:paraId="2CD60C1D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课件阅读系数＝(有效页÷总页)×0.6＋(有效交互÷标准)×0.4（[0,1]）</w:t>
            </w:r>
          </w:p>
        </w:tc>
        <w:tc>
          <w:tcPr>
            <w:tcW w:w="1984" w:type="dxa"/>
          </w:tcPr>
          <w:p w14:paraId="44AA087C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进 IDG</w:t>
            </w:r>
          </w:p>
        </w:tc>
      </w:tr>
      <w:tr w14:paraId="2F2A92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DC44E3E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公告总条数</w:t>
            </w:r>
          </w:p>
        </w:tc>
        <w:tc>
          <w:tcPr>
            <w:tcW w:w="1701" w:type="dxa"/>
          </w:tcPr>
          <w:p w14:paraId="32D0459F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完整阅读条数</w:t>
            </w:r>
          </w:p>
        </w:tc>
        <w:tc>
          <w:tcPr>
            <w:tcW w:w="3742" w:type="dxa"/>
          </w:tcPr>
          <w:p w14:paraId="1FFE907B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公告阅读系数＝完整阅读条数÷总条数（[0,1]）</w:t>
            </w:r>
          </w:p>
        </w:tc>
        <w:tc>
          <w:tcPr>
            <w:tcW w:w="1984" w:type="dxa"/>
          </w:tcPr>
          <w:p w14:paraId="309C464A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进 IDG</w:t>
            </w:r>
          </w:p>
        </w:tc>
      </w:tr>
      <w:tr w14:paraId="3B499DE9">
        <w:trPr>
          <w:jc w:val="center"/>
        </w:trPr>
        <w:tc>
          <w:tcPr>
            <w:tcW w:w="1417" w:type="dxa"/>
          </w:tcPr>
          <w:p w14:paraId="19EDE314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视频总时长</w:t>
            </w:r>
          </w:p>
        </w:tc>
        <w:tc>
          <w:tcPr>
            <w:tcW w:w="1701" w:type="dxa"/>
          </w:tcPr>
          <w:p w14:paraId="2FC73C70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已看时长</w:t>
            </w:r>
          </w:p>
        </w:tc>
        <w:tc>
          <w:tcPr>
            <w:tcW w:w="3742" w:type="dxa"/>
          </w:tcPr>
          <w:p w14:paraId="48EDD740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视频观看系数＝已看÷总时长（[0,1]）</w:t>
            </w:r>
          </w:p>
        </w:tc>
        <w:tc>
          <w:tcPr>
            <w:tcW w:w="1984" w:type="dxa"/>
          </w:tcPr>
          <w:p w14:paraId="0D336F1A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观测，&lt;1.00 标红</w:t>
            </w:r>
          </w:p>
        </w:tc>
      </w:tr>
      <w:tr w14:paraId="3587A1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bottom w:val="single" w:color="000000" w:sz="12" w:space="0"/>
            </w:tcBorders>
          </w:tcPr>
          <w:p w14:paraId="71B3889F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互动总次数</w:t>
            </w:r>
          </w:p>
        </w:tc>
        <w:tc>
          <w:tcPr>
            <w:tcW w:w="1701" w:type="dxa"/>
            <w:tcBorders>
              <w:bottom w:val="single" w:color="000000" w:sz="12" w:space="0"/>
            </w:tcBorders>
          </w:tcPr>
          <w:p w14:paraId="6EF42559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参与次数</w:t>
            </w:r>
          </w:p>
        </w:tc>
        <w:tc>
          <w:tcPr>
            <w:tcW w:w="3742" w:type="dxa"/>
            <w:tcBorders>
              <w:bottom w:val="single" w:color="000000" w:sz="12" w:space="0"/>
            </w:tcBorders>
          </w:tcPr>
          <w:p w14:paraId="38204D71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互动系数＝参与÷总次数（[0,1]）</w:t>
            </w:r>
          </w:p>
        </w:tc>
        <w:tc>
          <w:tcPr>
            <w:tcW w:w="1984" w:type="dxa"/>
            <w:tcBorders>
              <w:bottom w:val="single" w:color="000000" w:sz="12" w:space="0"/>
            </w:tcBorders>
          </w:tcPr>
          <w:p w14:paraId="4366B53A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观测，&lt;1.00 标红</w:t>
            </w:r>
          </w:p>
        </w:tc>
      </w:tr>
    </w:tbl>
    <w:p w14:paraId="6FBE793C">
      <w:pPr>
        <w:spacing w:after="0"/>
      </w:pPr>
    </w:p>
    <w:p w14:paraId="175D0B7E">
      <w:pPr>
        <w:spacing w:before="0" w:after="40" w:line="269" w:lineRule="auto"/>
        <w:ind w:firstLine="360"/>
      </w:pPr>
      <w:r>
        <w:rPr>
          <w:rFonts w:ascii="Times New Roman" w:hAnsi="Times New Roman" w:eastAsia="宋体"/>
          <w:b w:val="0"/>
          <w:color w:val="1A1A1A"/>
          <w:sz w:val="18"/>
        </w:rPr>
        <w:t>即时动态成绩（IDG）＝课程百分得分 × 课件阅读系数 × 公告阅读系数（乘积非加权和，任一因子趋 0 成绩断崖下降）。平均动态成绩（ADG）＝时间窗口内多个历史 IDG 加权平均（近期权重高）。量纲铁律：仅百分得分 [0,100]，两系数 [0,1]，乘积落 [0,100] 与阈值对齐。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742"/>
        <w:gridCol w:w="3402"/>
      </w:tblGrid>
      <w:tr w14:paraId="772361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12" w:space="0"/>
              <w:bottom w:val="single" w:color="000000" w:sz="12" w:space="0"/>
            </w:tcBorders>
          </w:tcPr>
          <w:p w14:paraId="5E7404B4">
            <w:pPr>
              <w:spacing w:after="20"/>
              <w:jc w:val="center"/>
            </w:pPr>
            <w:r>
              <w:rPr>
                <w:rFonts w:ascii="Arial" w:hAnsi="Arial" w:eastAsia="黑体"/>
                <w:b/>
                <w:color w:val="1A1A1A"/>
                <w:sz w:val="17"/>
              </w:rPr>
              <w:t>状态类型</w:t>
            </w:r>
          </w:p>
        </w:tc>
        <w:tc>
          <w:tcPr>
            <w:tcW w:w="3742" w:type="dxa"/>
            <w:tcBorders>
              <w:top w:val="single" w:color="000000" w:sz="12" w:space="0"/>
              <w:bottom w:val="single" w:color="000000" w:sz="12" w:space="0"/>
            </w:tcBorders>
          </w:tcPr>
          <w:p w14:paraId="7C6C4D73">
            <w:pPr>
              <w:spacing w:after="20"/>
              <w:jc w:val="center"/>
            </w:pPr>
            <w:r>
              <w:rPr>
                <w:rFonts w:ascii="Arial" w:hAnsi="Arial" w:eastAsia="黑体"/>
                <w:b/>
                <w:color w:val="1A1A1A"/>
                <w:sz w:val="17"/>
              </w:rPr>
              <w:t>判定（即时，平均）</w:t>
            </w:r>
          </w:p>
        </w:tc>
        <w:tc>
          <w:tcPr>
            <w:tcW w:w="3402" w:type="dxa"/>
            <w:tcBorders>
              <w:top w:val="single" w:color="000000" w:sz="12" w:space="0"/>
              <w:bottom w:val="single" w:color="000000" w:sz="12" w:space="0"/>
            </w:tcBorders>
          </w:tcPr>
          <w:p w14:paraId="267D0423">
            <w:pPr>
              <w:spacing w:after="20"/>
              <w:jc w:val="center"/>
            </w:pPr>
            <w:r>
              <w:rPr>
                <w:rFonts w:ascii="Arial" w:hAnsi="Arial" w:eastAsia="黑体"/>
                <w:b/>
                <w:color w:val="1A1A1A"/>
                <w:sz w:val="17"/>
              </w:rPr>
              <w:t>响应形态</w:t>
            </w:r>
          </w:p>
        </w:tc>
      </w:tr>
      <w:tr w14:paraId="6D0100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78C2CE4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持续困难型</w:t>
            </w:r>
          </w:p>
        </w:tc>
        <w:tc>
          <w:tcPr>
            <w:tcW w:w="3742" w:type="dxa"/>
          </w:tcPr>
          <w:p w14:paraId="4432DCFD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即时&lt;60 且 平均&lt;60</w:t>
            </w:r>
          </w:p>
        </w:tc>
        <w:tc>
          <w:tcPr>
            <w:tcW w:w="3402" w:type="dxa"/>
          </w:tcPr>
          <w:p w14:paraId="4FF442DD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救护车：教师一对一＋心理转介</w:t>
            </w:r>
          </w:p>
        </w:tc>
      </w:tr>
      <w:tr w14:paraId="3B3823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15CC048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进步改善型</w:t>
            </w:r>
          </w:p>
        </w:tc>
        <w:tc>
          <w:tcPr>
            <w:tcW w:w="3742" w:type="dxa"/>
          </w:tcPr>
          <w:p w14:paraId="71B1E0B1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即时≥60 且 平均&lt;60</w:t>
            </w:r>
          </w:p>
        </w:tc>
        <w:tc>
          <w:tcPr>
            <w:tcW w:w="3402" w:type="dxa"/>
          </w:tcPr>
          <w:p w14:paraId="7FF39DD8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导航仪：肯定进步趋势</w:t>
            </w:r>
          </w:p>
        </w:tc>
      </w:tr>
      <w:tr w14:paraId="20D074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5B4DA6A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短期波动型</w:t>
            </w:r>
          </w:p>
        </w:tc>
        <w:tc>
          <w:tcPr>
            <w:tcW w:w="3742" w:type="dxa"/>
          </w:tcPr>
          <w:p w14:paraId="3D19D581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即时&lt;60 且 平均≥60</w:t>
            </w:r>
          </w:p>
        </w:tc>
        <w:tc>
          <w:tcPr>
            <w:tcW w:w="3402" w:type="dxa"/>
          </w:tcPr>
          <w:p w14:paraId="22AD7267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导航仪：波动提醒</w:t>
            </w:r>
          </w:p>
        </w:tc>
      </w:tr>
      <w:tr w14:paraId="62DE45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4B493B6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稳定达标型</w:t>
            </w:r>
          </w:p>
        </w:tc>
        <w:tc>
          <w:tcPr>
            <w:tcW w:w="3742" w:type="dxa"/>
          </w:tcPr>
          <w:p w14:paraId="4D3818CA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60≤两值&lt;90</w:t>
            </w:r>
          </w:p>
        </w:tc>
        <w:tc>
          <w:tcPr>
            <w:tcW w:w="3402" w:type="dxa"/>
          </w:tcPr>
          <w:p w14:paraId="1150AE0F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导航仪：稳定达标鼓励</w:t>
            </w:r>
          </w:p>
        </w:tc>
      </w:tr>
      <w:tr w14:paraId="5F7D82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bottom w:val="single" w:color="000000" w:sz="12" w:space="0"/>
            </w:tcBorders>
          </w:tcPr>
          <w:p w14:paraId="12ABEDD2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成绩领跑型</w:t>
            </w:r>
          </w:p>
        </w:tc>
        <w:tc>
          <w:tcPr>
            <w:tcW w:w="3742" w:type="dxa"/>
            <w:tcBorders>
              <w:bottom w:val="single" w:color="000000" w:sz="12" w:space="0"/>
            </w:tcBorders>
          </w:tcPr>
          <w:p w14:paraId="73EA3A70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两值≥90</w:t>
            </w:r>
          </w:p>
        </w:tc>
        <w:tc>
          <w:tcPr>
            <w:tcW w:w="3402" w:type="dxa"/>
            <w:tcBorders>
              <w:bottom w:val="single" w:color="000000" w:sz="12" w:space="0"/>
            </w:tcBorders>
          </w:tcPr>
          <w:p w14:paraId="3D4A00E7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导航仪：荣誉激励</w:t>
            </w:r>
          </w:p>
        </w:tc>
      </w:tr>
    </w:tbl>
    <w:p w14:paraId="005A9BD2">
      <w:pPr>
        <w:spacing w:after="0"/>
      </w:pPr>
    </w:p>
    <w:p w14:paraId="13792BCA">
      <w:pPr>
        <w:spacing w:before="0" w:after="40" w:line="269" w:lineRule="auto"/>
        <w:ind w:firstLine="360"/>
      </w:pPr>
      <w:r>
        <w:rPr>
          <w:rFonts w:ascii="Times New Roman" w:hAnsi="Times New Roman" w:eastAsia="宋体"/>
          <w:b w:val="0"/>
          <w:color w:val="1A1A1A"/>
          <w:sz w:val="18"/>
        </w:rPr>
        <w:t>三色规则：绿 ≥90、蓝 60~89.9、红 &lt;60（全可配置）。观测指标（视频/互动系数）不进 IDG、不改分值、与三色独立，&lt;1.00 标红。</w:t>
      </w:r>
    </w:p>
    <w:p w14:paraId="4DD2DD04">
      <w:pPr>
        <w:spacing w:before="100" w:after="40"/>
      </w:pPr>
      <w:r>
        <w:rPr>
          <w:rFonts w:ascii="Arial" w:hAnsi="Arial" w:eastAsia="黑体"/>
          <w:b/>
          <w:color w:val="1A4A7A"/>
          <w:sz w:val="23"/>
        </w:rPr>
        <w:t>五、P0 算法细则（防刷课、防敷衍、防欠账）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9"/>
        <w:gridCol w:w="7143"/>
      </w:tblGrid>
      <w:tr w14:paraId="094E5D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79" w:type="dxa"/>
            <w:tcBorders>
              <w:top w:val="single" w:color="000000" w:sz="12" w:space="0"/>
              <w:bottom w:val="single" w:color="000000" w:sz="12" w:space="0"/>
            </w:tcBorders>
          </w:tcPr>
          <w:p w14:paraId="68D52559">
            <w:pPr>
              <w:spacing w:after="20"/>
              <w:jc w:val="center"/>
            </w:pPr>
            <w:r>
              <w:rPr>
                <w:rFonts w:ascii="Arial" w:hAnsi="Arial" w:eastAsia="黑体"/>
                <w:b/>
                <w:color w:val="1A1A1A"/>
                <w:sz w:val="17"/>
              </w:rPr>
              <w:t>细则</w:t>
            </w:r>
          </w:p>
        </w:tc>
        <w:tc>
          <w:tcPr>
            <w:tcW w:w="7143" w:type="dxa"/>
            <w:tcBorders>
              <w:top w:val="single" w:color="000000" w:sz="12" w:space="0"/>
              <w:bottom w:val="single" w:color="000000" w:sz="12" w:space="0"/>
            </w:tcBorders>
          </w:tcPr>
          <w:p w14:paraId="6026DC85">
            <w:pPr>
              <w:spacing w:after="20"/>
              <w:jc w:val="center"/>
            </w:pPr>
            <w:r>
              <w:rPr>
                <w:rFonts w:ascii="Arial" w:hAnsi="Arial" w:eastAsia="黑体"/>
                <w:b/>
                <w:color w:val="1A1A1A"/>
                <w:sz w:val="17"/>
              </w:rPr>
              <w:t>规则</w:t>
            </w:r>
          </w:p>
        </w:tc>
      </w:tr>
      <w:tr w14:paraId="436026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79" w:type="dxa"/>
          </w:tcPr>
          <w:p w14:paraId="50078CAA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刷课过滤</w:t>
            </w:r>
          </w:p>
        </w:tc>
        <w:tc>
          <w:tcPr>
            <w:tcW w:w="7143" w:type="dxa"/>
          </w:tcPr>
          <w:p w14:paraId="52518609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单页停留&lt;5 秒不计有效时长；30 秒翻完全部页面触发“刷课标记”，该时段课件系数强制归零</w:t>
            </w:r>
          </w:p>
        </w:tc>
      </w:tr>
      <w:tr w14:paraId="6FFFE7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79" w:type="dxa"/>
          </w:tcPr>
          <w:p w14:paraId="213B5041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完整阅读判定</w:t>
            </w:r>
          </w:p>
        </w:tc>
        <w:tc>
          <w:tcPr>
            <w:tcW w:w="7143" w:type="dxa"/>
          </w:tcPr>
          <w:p w14:paraId="22B9085B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公告完整阅读＝停留≥15 秒 且 图文加载完成，两条件同时满足；防“点开即关”式敷衍</w:t>
            </w:r>
          </w:p>
        </w:tc>
      </w:tr>
      <w:tr w14:paraId="36CA2B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79" w:type="dxa"/>
          </w:tcPr>
          <w:p w14:paraId="5400E0C1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系数预警</w:t>
            </w:r>
          </w:p>
        </w:tc>
        <w:tc>
          <w:tcPr>
            <w:tcW w:w="7143" w:type="dxa"/>
          </w:tcPr>
          <w:p w14:paraId="56AA3A1C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蓝&lt;0.80 / 红&lt;0.50（独立于成绩三色，作用于 [0,1] 系数，两套预警不混用）</w:t>
            </w:r>
          </w:p>
        </w:tc>
      </w:tr>
      <w:tr w14:paraId="3989A0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79" w:type="dxa"/>
          </w:tcPr>
          <w:p w14:paraId="5502984B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前置预警</w:t>
            </w:r>
          </w:p>
        </w:tc>
        <w:tc>
          <w:tcPr>
            <w:tcW w:w="7143" w:type="dxa"/>
          </w:tcPr>
          <w:p w14:paraId="63674475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系数连续 3 次&lt;0.80 或单次骤降&gt;0.30 → 48h 内原平台公告＋微信推送，萌芽期介入</w:t>
            </w:r>
          </w:p>
        </w:tc>
      </w:tr>
      <w:tr w14:paraId="7B9EE0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79" w:type="dxa"/>
            <w:tcBorders>
              <w:bottom w:val="single" w:color="000000" w:sz="12" w:space="0"/>
            </w:tcBorders>
          </w:tcPr>
          <w:p w14:paraId="7DA1EE4B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欠账不销</w:t>
            </w:r>
          </w:p>
        </w:tc>
        <w:tc>
          <w:tcPr>
            <w:tcW w:w="7143" w:type="dxa"/>
            <w:tcBorders>
              <w:bottom w:val="single" w:color="000000" w:sz="12" w:space="0"/>
            </w:tcBorders>
          </w:tcPr>
          <w:p w14:paraId="62AA247C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未完成任务不消失、持续负向权重；错题未订正持续累加；清偿后即时解除并显示“欠账已清”</w:t>
            </w:r>
          </w:p>
        </w:tc>
      </w:tr>
    </w:tbl>
    <w:p w14:paraId="38B249B7">
      <w:pPr>
        <w:spacing w:after="0"/>
      </w:pPr>
    </w:p>
    <w:p w14:paraId="352DE3B8">
      <w:pPr>
        <w:spacing w:before="100" w:after="40"/>
      </w:pPr>
      <w:r>
        <w:rPr>
          <w:rFonts w:ascii="Arial" w:hAnsi="Arial" w:eastAsia="黑体"/>
          <w:b/>
          <w:color w:val="1A4A7A"/>
          <w:sz w:val="23"/>
        </w:rPr>
        <w:t>六、功能要求（功能参数）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9"/>
        <w:gridCol w:w="7185"/>
      </w:tblGrid>
      <w:tr w14:paraId="67C794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9" w:type="dxa"/>
            <w:tcBorders>
              <w:top w:val="single" w:color="000000" w:sz="12" w:space="0"/>
              <w:bottom w:val="single" w:color="000000" w:sz="12" w:space="0"/>
            </w:tcBorders>
          </w:tcPr>
          <w:p w14:paraId="77CA8369">
            <w:pPr>
              <w:spacing w:after="20"/>
              <w:jc w:val="center"/>
            </w:pPr>
            <w:r>
              <w:rPr>
                <w:rFonts w:ascii="Arial" w:hAnsi="Arial" w:eastAsia="黑体"/>
                <w:b/>
                <w:color w:val="1A1A1A"/>
                <w:sz w:val="17"/>
              </w:rPr>
              <w:t>功能模块</w:t>
            </w:r>
          </w:p>
        </w:tc>
        <w:tc>
          <w:tcPr>
            <w:tcW w:w="7185" w:type="dxa"/>
            <w:tcBorders>
              <w:top w:val="single" w:color="000000" w:sz="12" w:space="0"/>
              <w:bottom w:val="single" w:color="000000" w:sz="12" w:space="0"/>
            </w:tcBorders>
          </w:tcPr>
          <w:p w14:paraId="6E430462">
            <w:pPr>
              <w:spacing w:after="20"/>
              <w:jc w:val="center"/>
            </w:pPr>
            <w:r>
              <w:rPr>
                <w:rFonts w:ascii="Arial" w:hAnsi="Arial" w:eastAsia="黑体"/>
                <w:b/>
                <w:color w:val="1A1A1A"/>
                <w:sz w:val="17"/>
              </w:rPr>
              <w:t>功能要求</w:t>
            </w:r>
          </w:p>
        </w:tc>
      </w:tr>
      <w:tr w14:paraId="364329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9" w:type="dxa"/>
          </w:tcPr>
          <w:p w14:paraId="709F3B66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三色成绩报表</w:t>
            </w:r>
          </w:p>
        </w:tc>
        <w:tc>
          <w:tcPr>
            <w:tcW w:w="7185" w:type="dxa"/>
          </w:tcPr>
          <w:p w14:paraId="596B60C5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即时/平均动态成绩按绿蓝红三色呈现；标注视频、互动两观测系数（&lt;1.00 标红）；分子/分母显式可查；默认无排名视图（低利害）</w:t>
            </w:r>
          </w:p>
        </w:tc>
      </w:tr>
      <w:tr w14:paraId="4F4674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9" w:type="dxa"/>
          </w:tcPr>
          <w:p w14:paraId="4FA886F3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人工核定＋发布</w:t>
            </w:r>
          </w:p>
        </w:tc>
        <w:tc>
          <w:tcPr>
            <w:tcW w:w="7185" w:type="dxa"/>
          </w:tcPr>
          <w:p w14:paraId="0C038D75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报表须教师核定后方可发布，后端物理拒发未核定报表；核定留痕；发布成功率 ≥99%、幂等、24h 可撤回</w:t>
            </w:r>
          </w:p>
        </w:tc>
      </w:tr>
      <w:tr w14:paraId="1D0D78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9" w:type="dxa"/>
          </w:tcPr>
          <w:p w14:paraId="2EBFE7F8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三缺失画像</w:t>
            </w:r>
          </w:p>
        </w:tc>
        <w:tc>
          <w:tcPr>
            <w:tcW w:w="7185" w:type="dxa"/>
          </w:tcPr>
          <w:p w14:paraId="0D4378F1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关注力/自律性/内驱力三缺失画像（分子/分母显式）；驱动分级干预（导航仪/救护车分流）</w:t>
            </w:r>
          </w:p>
        </w:tc>
      </w:tr>
      <w:tr w14:paraId="0311C2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9" w:type="dxa"/>
          </w:tcPr>
          <w:p w14:paraId="6A32CE7A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量表＋静默通道</w:t>
            </w:r>
          </w:p>
        </w:tc>
        <w:tc>
          <w:tcPr>
            <w:tcW w:w="7185" w:type="dxa"/>
          </w:tcPr>
          <w:p w14:paraId="0C90F7F3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8＋1 份量表含 CD-RISC-25（反向计分）；发布字段白名单硬校验＝心理数据零外泄；不向学生发心理评价结果</w:t>
            </w:r>
          </w:p>
        </w:tc>
      </w:tr>
      <w:tr w14:paraId="7CD54F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9" w:type="dxa"/>
          </w:tcPr>
          <w:p w14:paraId="7CDB319E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心理转介</w:t>
            </w:r>
          </w:p>
        </w:tc>
        <w:tc>
          <w:tcPr>
            <w:tcW w:w="7185" w:type="dxa"/>
          </w:tcPr>
          <w:p w14:paraId="58755C2E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危机 ≤2h 上报；转介工单全程留痕；超时自动升级</w:t>
            </w:r>
          </w:p>
        </w:tc>
      </w:tr>
      <w:tr w14:paraId="7426BC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9" w:type="dxa"/>
          </w:tcPr>
          <w:p w14:paraId="0224441C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增值评价引擎</w:t>
            </w:r>
          </w:p>
        </w:tc>
        <w:tc>
          <w:tcPr>
            <w:tcW w:w="7185" w:type="dxa"/>
          </w:tcPr>
          <w:p w14:paraId="267A6BF3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五环节闭合率（诊断准确/反馈被理解/矫正针对/再验证发生/新迭代启动）；一期做采集＋可视化</w:t>
            </w:r>
          </w:p>
        </w:tc>
      </w:tr>
      <w:tr w14:paraId="3D50E1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9" w:type="dxa"/>
          </w:tcPr>
          <w:p w14:paraId="2B6A11E1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反馈采纳闭环</w:t>
            </w:r>
          </w:p>
        </w:tc>
        <w:tc>
          <w:tcPr>
            <w:tcW w:w="7185" w:type="dxa"/>
          </w:tcPr>
          <w:p w14:paraId="6DC9B516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报告查看本身纳入计分（不查看→公告系数走低）；反馈从“发出”升级为“被接收被采纳”</w:t>
            </w:r>
          </w:p>
        </w:tc>
      </w:tr>
      <w:tr w14:paraId="6F39BB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9" w:type="dxa"/>
            <w:tcBorders>
              <w:bottom w:val="single" w:color="000000" w:sz="12" w:space="0"/>
            </w:tcBorders>
          </w:tcPr>
          <w:p w14:paraId="7073AF93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增值性元评价</w:t>
            </w:r>
          </w:p>
        </w:tc>
        <w:tc>
          <w:tcPr>
            <w:tcW w:w="7185" w:type="dxa"/>
            <w:tcBorders>
              <w:bottom w:val="single" w:color="000000" w:sz="12" w:space="0"/>
            </w:tcBorders>
          </w:tcPr>
          <w:p w14:paraId="5ECE436A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系统定期生成《效能自证报告》：闭环闭合率、督学效果、行为改善、动机修复四维；不显著结果如实报告</w:t>
            </w:r>
          </w:p>
        </w:tc>
      </w:tr>
    </w:tbl>
    <w:p w14:paraId="2B43B556">
      <w:pPr>
        <w:spacing w:after="0"/>
      </w:pPr>
    </w:p>
    <w:p w14:paraId="0851D88C">
      <w:pPr>
        <w:spacing w:before="100" w:after="40"/>
      </w:pPr>
      <w:r>
        <w:rPr>
          <w:rFonts w:ascii="Arial" w:hAnsi="Arial" w:eastAsia="黑体"/>
          <w:b/>
          <w:color w:val="1A4A7A"/>
          <w:sz w:val="23"/>
        </w:rPr>
        <w:t>七、低利害铁律（增值评价研究制度级约束，P0）</w:t>
      </w:r>
    </w:p>
    <w:p w14:paraId="16997038">
      <w:pPr>
        <w:spacing w:before="0" w:after="40" w:line="269" w:lineRule="auto"/>
        <w:ind w:firstLine="360"/>
      </w:pPr>
      <w:r>
        <w:rPr>
          <w:rFonts w:ascii="Times New Roman" w:hAnsi="Times New Roman" w:eastAsia="宋体"/>
          <w:b w:val="0"/>
          <w:color w:val="1A1A1A"/>
          <w:sz w:val="18"/>
        </w:rPr>
        <w:t>核心命题（增值评价研究）：评价失灵不随工具走，随用途走——高利害问责系统性失灵，低利害诊断无失灵记录。故 SAAS 评价结果默认低利害，高利害用途技术层面排除。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8"/>
        <w:gridCol w:w="7030"/>
      </w:tblGrid>
      <w:tr w14:paraId="3A16D9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8" w:type="dxa"/>
            <w:tcBorders>
              <w:top w:val="single" w:color="000000" w:sz="12" w:space="0"/>
              <w:bottom w:val="single" w:color="000000" w:sz="12" w:space="0"/>
            </w:tcBorders>
          </w:tcPr>
          <w:p w14:paraId="1F513A49">
            <w:pPr>
              <w:spacing w:after="20"/>
              <w:jc w:val="center"/>
            </w:pPr>
            <w:r>
              <w:rPr>
                <w:rFonts w:ascii="Arial" w:hAnsi="Arial" w:eastAsia="黑体"/>
                <w:b/>
                <w:color w:val="1A1A1A"/>
                <w:sz w:val="17"/>
              </w:rPr>
              <w:t>约束</w:t>
            </w:r>
          </w:p>
        </w:tc>
        <w:tc>
          <w:tcPr>
            <w:tcW w:w="7030" w:type="dxa"/>
            <w:tcBorders>
              <w:top w:val="single" w:color="000000" w:sz="12" w:space="0"/>
              <w:bottom w:val="single" w:color="000000" w:sz="12" w:space="0"/>
            </w:tcBorders>
          </w:tcPr>
          <w:p w14:paraId="4D3BCA38">
            <w:pPr>
              <w:spacing w:after="20"/>
              <w:jc w:val="center"/>
            </w:pPr>
            <w:r>
              <w:rPr>
                <w:rFonts w:ascii="Arial" w:hAnsi="Arial" w:eastAsia="黑体"/>
                <w:b/>
                <w:color w:val="1A1A1A"/>
                <w:sz w:val="17"/>
              </w:rPr>
              <w:t>内容</w:t>
            </w:r>
          </w:p>
        </w:tc>
      </w:tr>
      <w:tr w14:paraId="42BA3B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8" w:type="dxa"/>
          </w:tcPr>
          <w:p w14:paraId="1BA35EF6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C1 尊重差异</w:t>
            </w:r>
          </w:p>
        </w:tc>
        <w:tc>
          <w:tcPr>
            <w:tcW w:w="7030" w:type="dxa"/>
          </w:tcPr>
          <w:p w14:paraId="064B961E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禁止生成“全班排名榜”；报告只呈现个体成长画像与相对自身趋势</w:t>
            </w:r>
          </w:p>
        </w:tc>
      </w:tr>
      <w:tr w14:paraId="5B4A71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8" w:type="dxa"/>
          </w:tcPr>
          <w:p w14:paraId="18743559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C2 重视起点</w:t>
            </w:r>
          </w:p>
        </w:tc>
        <w:tc>
          <w:tcPr>
            <w:tcW w:w="7030" w:type="dxa"/>
          </w:tcPr>
          <w:p w14:paraId="30771291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分数必带起点基线，脱离基线不显示；禁止给个体贴“低起点/后进生”标签</w:t>
            </w:r>
          </w:p>
        </w:tc>
      </w:tr>
      <w:tr w14:paraId="10DB5D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8" w:type="dxa"/>
          </w:tcPr>
          <w:p w14:paraId="53EC9E84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C3 关注过程</w:t>
            </w:r>
          </w:p>
        </w:tc>
        <w:tc>
          <w:tcPr>
            <w:tcW w:w="7030" w:type="dxa"/>
          </w:tcPr>
          <w:p w14:paraId="0701AB33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测量基础只能是过程性行为数据，禁止“期末减期中”式伪增值</w:t>
            </w:r>
          </w:p>
        </w:tc>
      </w:tr>
      <w:tr w14:paraId="40DDDC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8" w:type="dxa"/>
          </w:tcPr>
          <w:p w14:paraId="7E3316A0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C4 强调发展</w:t>
            </w:r>
          </w:p>
        </w:tc>
        <w:tc>
          <w:tcPr>
            <w:tcW w:w="7030" w:type="dxa"/>
          </w:tcPr>
          <w:p w14:paraId="49858312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高利害用途（排名/评优/人事/薪酬/问责）制度性排除；低利害为默认</w:t>
            </w:r>
          </w:p>
        </w:tc>
      </w:tr>
      <w:tr w14:paraId="419068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68" w:type="dxa"/>
            <w:tcBorders>
              <w:bottom w:val="single" w:color="000000" w:sz="12" w:space="0"/>
            </w:tcBorders>
          </w:tcPr>
          <w:p w14:paraId="166E2FD8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L1-L6 落地</w:t>
            </w:r>
          </w:p>
        </w:tc>
        <w:tc>
          <w:tcPr>
            <w:tcW w:w="7030" w:type="dxa"/>
            <w:tcBorders>
              <w:bottom w:val="single" w:color="000000" w:sz="12" w:space="0"/>
            </w:tcBorders>
          </w:tcPr>
          <w:p w14:paraId="44B26F69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无排名接口；成长画像≥5维；趋势区间替代精确位次；起点基线强制；排序导出二次确认＋留痕；结果进教师发展档案不作人事依据</w:t>
            </w:r>
          </w:p>
        </w:tc>
      </w:tr>
    </w:tbl>
    <w:p w14:paraId="7E108265">
      <w:pPr>
        <w:spacing w:after="0"/>
      </w:pPr>
    </w:p>
    <w:p w14:paraId="61C4C7AC">
      <w:pPr>
        <w:spacing w:before="100" w:after="40"/>
      </w:pPr>
      <w:r>
        <w:rPr>
          <w:rFonts w:ascii="Arial" w:hAnsi="Arial" w:eastAsia="黑体"/>
          <w:b/>
          <w:color w:val="1A4A7A"/>
          <w:sz w:val="23"/>
        </w:rPr>
        <w:t>八、非功能要求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143"/>
      </w:tblGrid>
      <w:tr w14:paraId="3F122B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12" w:space="0"/>
              <w:bottom w:val="single" w:color="000000" w:sz="12" w:space="0"/>
            </w:tcBorders>
          </w:tcPr>
          <w:p w14:paraId="3E44276E">
            <w:pPr>
              <w:spacing w:after="20"/>
              <w:jc w:val="center"/>
            </w:pPr>
            <w:r>
              <w:rPr>
                <w:rFonts w:ascii="Arial" w:hAnsi="Arial" w:eastAsia="黑体"/>
                <w:b/>
                <w:color w:val="1A1A1A"/>
                <w:sz w:val="17"/>
              </w:rPr>
              <w:t>类别</w:t>
            </w:r>
          </w:p>
        </w:tc>
        <w:tc>
          <w:tcPr>
            <w:tcW w:w="7143" w:type="dxa"/>
            <w:tcBorders>
              <w:top w:val="single" w:color="000000" w:sz="12" w:space="0"/>
              <w:bottom w:val="single" w:color="000000" w:sz="12" w:space="0"/>
            </w:tcBorders>
          </w:tcPr>
          <w:p w14:paraId="7DFF25E3">
            <w:pPr>
              <w:spacing w:after="20"/>
              <w:jc w:val="center"/>
            </w:pPr>
            <w:r>
              <w:rPr>
                <w:rFonts w:ascii="Arial" w:hAnsi="Arial" w:eastAsia="黑体"/>
                <w:b/>
                <w:color w:val="1A1A1A"/>
                <w:sz w:val="17"/>
              </w:rPr>
              <w:t>要求</w:t>
            </w:r>
          </w:p>
        </w:tc>
      </w:tr>
      <w:tr w14:paraId="565894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6874A8C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性能</w:t>
            </w:r>
          </w:p>
        </w:tc>
        <w:tc>
          <w:tcPr>
            <w:tcW w:w="7143" w:type="dxa"/>
          </w:tcPr>
          <w:p w14:paraId="0B555321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单班重算 ≤30 秒；单班采集＋刷新 ≤3 分钟（P95）；支持 ≥3000 校多租户</w:t>
            </w:r>
          </w:p>
        </w:tc>
      </w:tr>
      <w:tr w14:paraId="2B0916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1B81329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安全合规</w:t>
            </w:r>
          </w:p>
        </w:tc>
        <w:tc>
          <w:tcPr>
            <w:tcW w:w="7143" w:type="dxa"/>
          </w:tcPr>
          <w:p w14:paraId="2AA9A3E5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等保三级；个保法/数安法；心理数据敏感，KMS 加密＋最小授权＋操作留痕</w:t>
            </w:r>
          </w:p>
        </w:tc>
      </w:tr>
      <w:tr w14:paraId="61C3E2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7377B47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可用性</w:t>
            </w:r>
          </w:p>
        </w:tc>
        <w:tc>
          <w:tcPr>
            <w:tcW w:w="7143" w:type="dxa"/>
          </w:tcPr>
          <w:p w14:paraId="0AF0F9E6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单平台接口不可用自动降级不中断；发布幂等可撤回；接口降级不丢数据</w:t>
            </w:r>
          </w:p>
        </w:tc>
      </w:tr>
      <w:tr w14:paraId="513632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bottom w:val="single" w:color="000000" w:sz="12" w:space="0"/>
            </w:tcBorders>
          </w:tcPr>
          <w:p w14:paraId="1D4DE5ED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扩展</w:t>
            </w:r>
          </w:p>
        </w:tc>
        <w:tc>
          <w:tcPr>
            <w:tcW w:w="7143" w:type="dxa"/>
            <w:tcBorders>
              <w:bottom w:val="single" w:color="000000" w:sz="12" w:space="0"/>
            </w:tcBorders>
          </w:tcPr>
          <w:p w14:paraId="798B9478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新增平台仅扩展数据适配层；公式阈值/权重/周期/增值目标全可配置</w:t>
            </w:r>
          </w:p>
        </w:tc>
      </w:tr>
    </w:tbl>
    <w:p w14:paraId="2997523D">
      <w:pPr>
        <w:spacing w:after="0"/>
      </w:pPr>
    </w:p>
    <w:p w14:paraId="3E4408F9">
      <w:pPr>
        <w:spacing w:before="100" w:after="40"/>
      </w:pPr>
      <w:r>
        <w:rPr>
          <w:rFonts w:ascii="Arial" w:hAnsi="Arial" w:eastAsia="黑体"/>
          <w:b/>
          <w:color w:val="1A4A7A"/>
          <w:sz w:val="23"/>
        </w:rPr>
        <w:t>九、关键验收指标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2948"/>
        <w:gridCol w:w="4989"/>
      </w:tblGrid>
      <w:tr w14:paraId="2A5BCC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tcBorders>
              <w:top w:val="single" w:color="000000" w:sz="12" w:space="0"/>
              <w:bottom w:val="single" w:color="000000" w:sz="12" w:space="0"/>
            </w:tcBorders>
          </w:tcPr>
          <w:p w14:paraId="16A7DB48">
            <w:pPr>
              <w:spacing w:after="20"/>
              <w:jc w:val="center"/>
            </w:pPr>
            <w:r>
              <w:rPr>
                <w:rFonts w:ascii="Arial" w:hAnsi="Arial" w:eastAsia="黑体"/>
                <w:b/>
                <w:color w:val="1A1A1A"/>
                <w:sz w:val="17"/>
              </w:rPr>
              <w:t>编号</w:t>
            </w:r>
          </w:p>
        </w:tc>
        <w:tc>
          <w:tcPr>
            <w:tcW w:w="2948" w:type="dxa"/>
            <w:tcBorders>
              <w:top w:val="single" w:color="000000" w:sz="12" w:space="0"/>
              <w:bottom w:val="single" w:color="000000" w:sz="12" w:space="0"/>
            </w:tcBorders>
          </w:tcPr>
          <w:p w14:paraId="7D933081">
            <w:pPr>
              <w:spacing w:after="20"/>
              <w:jc w:val="center"/>
            </w:pPr>
            <w:r>
              <w:rPr>
                <w:rFonts w:ascii="Arial" w:hAnsi="Arial" w:eastAsia="黑体"/>
                <w:b/>
                <w:color w:val="1A1A1A"/>
                <w:sz w:val="17"/>
              </w:rPr>
              <w:t>验收项</w:t>
            </w:r>
          </w:p>
        </w:tc>
        <w:tc>
          <w:tcPr>
            <w:tcW w:w="4989" w:type="dxa"/>
            <w:tcBorders>
              <w:top w:val="single" w:color="000000" w:sz="12" w:space="0"/>
              <w:bottom w:val="single" w:color="000000" w:sz="12" w:space="0"/>
            </w:tcBorders>
          </w:tcPr>
          <w:p w14:paraId="5139B077">
            <w:pPr>
              <w:spacing w:after="20"/>
              <w:jc w:val="center"/>
            </w:pPr>
            <w:r>
              <w:rPr>
                <w:rFonts w:ascii="Arial" w:hAnsi="Arial" w:eastAsia="黑体"/>
                <w:b/>
                <w:color w:val="1A1A1A"/>
                <w:sz w:val="17"/>
              </w:rPr>
              <w:t>标准</w:t>
            </w:r>
          </w:p>
        </w:tc>
      </w:tr>
      <w:tr w14:paraId="2E8D00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7313E7B6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V01</w:t>
            </w:r>
          </w:p>
        </w:tc>
        <w:tc>
          <w:tcPr>
            <w:tcW w:w="2948" w:type="dxa"/>
          </w:tcPr>
          <w:p w14:paraId="2DD0802C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三色判定边界</w:t>
            </w:r>
          </w:p>
        </w:tc>
        <w:tc>
          <w:tcPr>
            <w:tcW w:w="4989" w:type="dxa"/>
          </w:tcPr>
          <w:p w14:paraId="1DB5C4EE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89.95/90.0 与 59.95/60.0 判定 100% 正确</w:t>
            </w:r>
          </w:p>
        </w:tc>
      </w:tr>
      <w:tr w14:paraId="749325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08DA2F80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V02</w:t>
            </w:r>
          </w:p>
        </w:tc>
        <w:tc>
          <w:tcPr>
            <w:tcW w:w="2948" w:type="dxa"/>
          </w:tcPr>
          <w:p w14:paraId="28768922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IDG/ADG 计算</w:t>
            </w:r>
          </w:p>
        </w:tc>
        <w:tc>
          <w:tcPr>
            <w:tcW w:w="4989" w:type="dxa"/>
          </w:tcPr>
          <w:p w14:paraId="191EAA9B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与专利乘积公式、时间加权逐点一致（抽样 1000 条）</w:t>
            </w:r>
          </w:p>
        </w:tc>
      </w:tr>
      <w:tr w14:paraId="6496ED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448F5EE7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V03</w:t>
            </w:r>
          </w:p>
        </w:tc>
        <w:tc>
          <w:tcPr>
            <w:tcW w:w="2948" w:type="dxa"/>
          </w:tcPr>
          <w:p w14:paraId="311490C9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刷课过滤＋系数预警</w:t>
            </w:r>
          </w:p>
        </w:tc>
        <w:tc>
          <w:tcPr>
            <w:tcW w:w="4989" w:type="dxa"/>
          </w:tcPr>
          <w:p w14:paraId="70C991D8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单页&lt;5秒不计、30秒翻完归零；蓝&lt;0.80/红&lt;0.50 两套预警不混用</w:t>
            </w:r>
          </w:p>
        </w:tc>
      </w:tr>
      <w:tr w14:paraId="19178D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3C341B55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V04</w:t>
            </w:r>
          </w:p>
        </w:tc>
        <w:tc>
          <w:tcPr>
            <w:tcW w:w="2948" w:type="dxa"/>
          </w:tcPr>
          <w:p w14:paraId="180B44AA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观测系数标红</w:t>
            </w:r>
          </w:p>
        </w:tc>
        <w:tc>
          <w:tcPr>
            <w:tcW w:w="4989" w:type="dxa"/>
          </w:tcPr>
          <w:p w14:paraId="23B4B605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视频/互动系数 &lt;1.00 精确标红</w:t>
            </w:r>
          </w:p>
        </w:tc>
      </w:tr>
      <w:tr w14:paraId="7D0F88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022013A5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V05</w:t>
            </w:r>
          </w:p>
        </w:tc>
        <w:tc>
          <w:tcPr>
            <w:tcW w:w="2948" w:type="dxa"/>
          </w:tcPr>
          <w:p w14:paraId="2065E770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未核定拒发</w:t>
            </w:r>
          </w:p>
        </w:tc>
        <w:tc>
          <w:tcPr>
            <w:tcW w:w="4989" w:type="dxa"/>
          </w:tcPr>
          <w:p w14:paraId="099BBA88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未经教师核定报表后端物理拒发</w:t>
            </w:r>
          </w:p>
        </w:tc>
      </w:tr>
      <w:tr w14:paraId="61B8AE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231277DA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V06</w:t>
            </w:r>
          </w:p>
        </w:tc>
        <w:tc>
          <w:tcPr>
            <w:tcW w:w="2948" w:type="dxa"/>
          </w:tcPr>
          <w:p w14:paraId="428CCDB5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低利害铁律</w:t>
            </w:r>
          </w:p>
        </w:tc>
        <w:tc>
          <w:tcPr>
            <w:tcW w:w="4989" w:type="dxa"/>
          </w:tcPr>
          <w:p w14:paraId="230F7063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全站无排名接口；排序导出二次确认＋留痕</w:t>
            </w:r>
          </w:p>
        </w:tc>
      </w:tr>
      <w:tr w14:paraId="3274CB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tcBorders>
              <w:bottom w:val="single" w:color="000000" w:sz="12" w:space="0"/>
            </w:tcBorders>
          </w:tcPr>
          <w:p w14:paraId="0C7BAF83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V07</w:t>
            </w:r>
          </w:p>
        </w:tc>
        <w:tc>
          <w:tcPr>
            <w:tcW w:w="2948" w:type="dxa"/>
            <w:tcBorders>
              <w:bottom w:val="single" w:color="000000" w:sz="12" w:space="0"/>
            </w:tcBorders>
          </w:tcPr>
          <w:p w14:paraId="4FBB6A8A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静默通道＋危机上报</w:t>
            </w:r>
          </w:p>
        </w:tc>
        <w:tc>
          <w:tcPr>
            <w:tcW w:w="4989" w:type="dxa"/>
            <w:tcBorders>
              <w:bottom w:val="single" w:color="000000" w:sz="12" w:space="0"/>
            </w:tcBorders>
          </w:tcPr>
          <w:p w14:paraId="59F2FF4A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心理数据零外泄；危机 ≤2h 上报、工单留痕</w:t>
            </w:r>
          </w:p>
        </w:tc>
      </w:tr>
    </w:tbl>
    <w:p w14:paraId="2CC577F4">
      <w:pPr>
        <w:spacing w:after="0"/>
      </w:pPr>
    </w:p>
    <w:p w14:paraId="73AAA15A">
      <w:pPr>
        <w:spacing w:before="100" w:after="40"/>
      </w:pPr>
      <w:r>
        <w:rPr>
          <w:rFonts w:ascii="Arial" w:hAnsi="Arial" w:eastAsia="黑体"/>
          <w:b/>
          <w:color w:val="1A4A7A"/>
          <w:sz w:val="23"/>
        </w:rPr>
        <w:t>十、待确认参数（开发前请拍板）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494"/>
        <w:gridCol w:w="4649"/>
      </w:tblGrid>
      <w:tr w14:paraId="0CDFB4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000000" w:sz="12" w:space="0"/>
              <w:bottom w:val="single" w:color="000000" w:sz="12" w:space="0"/>
            </w:tcBorders>
          </w:tcPr>
          <w:p w14:paraId="24AF4634">
            <w:pPr>
              <w:spacing w:after="20"/>
              <w:jc w:val="center"/>
            </w:pPr>
            <w:r>
              <w:rPr>
                <w:rFonts w:ascii="Arial" w:hAnsi="Arial" w:eastAsia="黑体"/>
                <w:b/>
                <w:color w:val="1A1A1A"/>
                <w:sz w:val="17"/>
              </w:rPr>
              <w:t>参数</w:t>
            </w:r>
          </w:p>
        </w:tc>
        <w:tc>
          <w:tcPr>
            <w:tcW w:w="2494" w:type="dxa"/>
            <w:tcBorders>
              <w:top w:val="single" w:color="000000" w:sz="12" w:space="0"/>
              <w:bottom w:val="single" w:color="000000" w:sz="12" w:space="0"/>
            </w:tcBorders>
          </w:tcPr>
          <w:p w14:paraId="18DC78CF">
            <w:pPr>
              <w:spacing w:after="20"/>
              <w:jc w:val="center"/>
            </w:pPr>
            <w:r>
              <w:rPr>
                <w:rFonts w:ascii="Arial" w:hAnsi="Arial" w:eastAsia="黑体"/>
                <w:b/>
                <w:color w:val="1A1A1A"/>
                <w:sz w:val="17"/>
              </w:rPr>
              <w:t>默认基线</w:t>
            </w:r>
          </w:p>
        </w:tc>
        <w:tc>
          <w:tcPr>
            <w:tcW w:w="4649" w:type="dxa"/>
            <w:tcBorders>
              <w:top w:val="single" w:color="000000" w:sz="12" w:space="0"/>
              <w:bottom w:val="single" w:color="000000" w:sz="12" w:space="0"/>
            </w:tcBorders>
          </w:tcPr>
          <w:p w14:paraId="6787F731">
            <w:pPr>
              <w:spacing w:after="20"/>
              <w:jc w:val="center"/>
            </w:pPr>
            <w:r>
              <w:rPr>
                <w:rFonts w:ascii="Arial" w:hAnsi="Arial" w:eastAsia="黑体"/>
                <w:b/>
                <w:color w:val="1A1A1A"/>
                <w:sz w:val="17"/>
              </w:rPr>
              <w:t>说明</w:t>
            </w:r>
          </w:p>
        </w:tc>
      </w:tr>
      <w:tr w14:paraId="59EA6B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CBDFFF9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评价周期</w:t>
            </w:r>
          </w:p>
        </w:tc>
        <w:tc>
          <w:tcPr>
            <w:tcW w:w="2494" w:type="dxa"/>
          </w:tcPr>
          <w:p w14:paraId="5DB80EAB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2~5 天</w:t>
            </w:r>
          </w:p>
        </w:tc>
        <w:tc>
          <w:tcPr>
            <w:tcW w:w="4649" w:type="dxa"/>
          </w:tcPr>
          <w:p w14:paraId="35854441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一个 IDG 计算周期</w:t>
            </w:r>
          </w:p>
        </w:tc>
      </w:tr>
      <w:tr w14:paraId="3ECD6D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925DDEB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时间窗口</w:t>
            </w:r>
          </w:p>
        </w:tc>
        <w:tc>
          <w:tcPr>
            <w:tcW w:w="2494" w:type="dxa"/>
          </w:tcPr>
          <w:p w14:paraId="79F29A9F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4~6 周</w:t>
            </w:r>
          </w:p>
        </w:tc>
        <w:tc>
          <w:tcPr>
            <w:tcW w:w="4649" w:type="dxa"/>
          </w:tcPr>
          <w:p w14:paraId="4F8C3A99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ADG 加权窗口</w:t>
            </w:r>
          </w:p>
        </w:tc>
      </w:tr>
      <w:tr w14:paraId="29FF78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9FA51A2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权重衰减</w:t>
            </w:r>
          </w:p>
        </w:tc>
        <w:tc>
          <w:tcPr>
            <w:tcW w:w="2494" w:type="dxa"/>
          </w:tcPr>
          <w:p w14:paraId="6BDE859A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50%/30%/20%</w:t>
            </w:r>
          </w:p>
        </w:tc>
        <w:tc>
          <w:tcPr>
            <w:tcW w:w="4649" w:type="dxa"/>
          </w:tcPr>
          <w:p w14:paraId="1E3213D0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近→远三个周期权重（专利示例值）</w:t>
            </w:r>
          </w:p>
        </w:tc>
      </w:tr>
      <w:tr w14:paraId="54C20F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90634D1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优秀线 / 黄(蓝)红线</w:t>
            </w:r>
          </w:p>
        </w:tc>
        <w:tc>
          <w:tcPr>
            <w:tcW w:w="2494" w:type="dxa"/>
          </w:tcPr>
          <w:p w14:paraId="53D971C7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90 分 / 60 分</w:t>
            </w:r>
          </w:p>
        </w:tc>
        <w:tc>
          <w:tcPr>
            <w:tcW w:w="4649" w:type="dxa"/>
          </w:tcPr>
          <w:p w14:paraId="5E747167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成绩领跑型 / 三色阈值</w:t>
            </w:r>
          </w:p>
        </w:tc>
      </w:tr>
      <w:tr w14:paraId="4B4790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EAAA8B8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课件系数权重</w:t>
            </w:r>
          </w:p>
        </w:tc>
        <w:tc>
          <w:tcPr>
            <w:tcW w:w="2494" w:type="dxa"/>
          </w:tcPr>
          <w:p w14:paraId="1BD66604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0.6 / 0.4</w:t>
            </w:r>
          </w:p>
        </w:tc>
        <w:tc>
          <w:tcPr>
            <w:tcW w:w="4649" w:type="dxa"/>
          </w:tcPr>
          <w:p w14:paraId="702FF382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有效页数与有效交互双因子（论文实证值）</w:t>
            </w:r>
          </w:p>
        </w:tc>
      </w:tr>
      <w:tr w14:paraId="189EEE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56FBBE2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即时动态占比</w:t>
            </w:r>
          </w:p>
        </w:tc>
        <w:tc>
          <w:tcPr>
            <w:tcW w:w="2494" w:type="dxa"/>
          </w:tcPr>
          <w:p w14:paraId="681CB1E5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40%</w:t>
            </w:r>
          </w:p>
        </w:tc>
        <w:tc>
          <w:tcPr>
            <w:tcW w:w="4649" w:type="dxa"/>
          </w:tcPr>
          <w:p w14:paraId="42C1A6FF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IDG/ADG 合成期末总评权重（论文实证值，可配置）</w:t>
            </w:r>
          </w:p>
        </w:tc>
      </w:tr>
      <w:tr w14:paraId="5B503C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bottom w:val="single" w:color="000000" w:sz="12" w:space="0"/>
            </w:tcBorders>
          </w:tcPr>
          <w:p w14:paraId="74D334A1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低利害铁律强度</w:t>
            </w:r>
          </w:p>
        </w:tc>
        <w:tc>
          <w:tcPr>
            <w:tcW w:w="2494" w:type="dxa"/>
            <w:tcBorders>
              <w:bottom w:val="single" w:color="000000" w:sz="12" w:space="0"/>
            </w:tcBorders>
          </w:tcPr>
          <w:p w14:paraId="540114EB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C1-C4＋L1-L6 默认启用</w:t>
            </w:r>
          </w:p>
        </w:tc>
        <w:tc>
          <w:tcPr>
            <w:tcW w:w="4649" w:type="dxa"/>
            <w:tcBorders>
              <w:bottom w:val="single" w:color="000000" w:sz="12" w:space="0"/>
            </w:tcBorders>
          </w:tcPr>
          <w:p w14:paraId="586C442E">
            <w:pPr>
              <w:spacing w:after="20"/>
            </w:pPr>
            <w:r>
              <w:rPr>
                <w:rFonts w:ascii="Times New Roman" w:hAnsi="Times New Roman" w:eastAsia="宋体"/>
                <w:b w:val="0"/>
                <w:color w:val="1A1A1A"/>
                <w:sz w:val="17"/>
              </w:rPr>
              <w:t>是否允许学校级“排班级平均”温和视图</w:t>
            </w:r>
          </w:p>
        </w:tc>
      </w:tr>
    </w:tbl>
    <w:p w14:paraId="0734AEDF">
      <w:pPr>
        <w:spacing w:after="0"/>
      </w:pPr>
    </w:p>
    <w:sectPr>
      <w:pgSz w:w="11906" w:h="16838"/>
      <w:pgMar w:top="850" w:right="907" w:bottom="737" w:left="90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B8A4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1362</Words>
  <Characters>1544</Characters>
  <Lines>0</Lines>
  <Paragraphs>0</Paragraphs>
  <TotalTime>3</TotalTime>
  <ScaleCrop>false</ScaleCrop>
  <LinksUpToDate>false</LinksUpToDate>
  <CharactersWithSpaces>1600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jgdai</cp:lastModifiedBy>
  <dcterms:modified xsi:type="dcterms:W3CDTF">2026-09-09T04:13:22Z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eyJoZGlkIjoiYjg1NWM3OTNiNGMzMTNlZTA0ZTYxNDJmYzQ0MzNjZjgiLCJ1c2VySWQiOiIyMDA4NzI4NzIifQ==</vt:lpwstr>
  </property>
  <property fmtid="{D5CDD505-2E9C-101B-9397-08002B2CF9AE}" pid="3" name="KSOProductBuildVer">
    <vt:lpwstr>2052-12.1.0.28043</vt:lpwstr>
  </property>
  <property fmtid="{D5CDD505-2E9C-101B-9397-08002B2CF9AE}" pid="4" name="ICV">
    <vt:lpwstr>52804D0B4EC94E5EB574E0852FFE0B37_12</vt:lpwstr>
  </property>
</Properties>
</file>