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60" w:type="dxa"/>
        <w:tblCellMar>
          <w:top w:w="0" w:type="dxa"/>
          <w:left w:w="4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47"/>
        <w:gridCol w:w="1274"/>
        <w:gridCol w:w="3836"/>
        <w:gridCol w:w="1750"/>
        <w:gridCol w:w="1970"/>
      </w:tblGrid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29/05/17</w:t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working on new project identifying and tracking a person</w:t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LibreOffice/5.3.1.2$Linux_X86_64 LibreOffice_project/30m0$Build-2</Application>
  <Pages>4</Pages>
  <Words>604</Words>
  <Characters>2963</Characters>
  <CharactersWithSpaces>3525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2017-06-09T11:32:09Z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