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[Logo]</w:t>
            </w:r>
          </w:p>
        </w:tc>
        <w:tc>
          <w:tcPr>
            <w:tcW w:type="dxa" w:w="2160"/>
          </w:tcPr>
          <w:p>
            <w:r>
              <w:t>[the Organization]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  <w:tc>
          <w:tcPr>
            <w:tcW w:type="dxa" w:w="2160"/>
          </w:tcPr>
          <w:p>
            <w:r>
              <w:t>A-500-002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Responsibility &amp; Authority Matrix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Rev A</w:t>
            </w:r>
          </w:p>
        </w:tc>
      </w:tr>
    </w:tbl>
    <w:p/>
    <w:p>
      <w:pPr>
        <w:pStyle w:val="Heading2"/>
      </w:pPr>
      <w:r>
        <w:t>Objective</w:t>
      </w:r>
    </w:p>
    <w:p>
      <w:r>
        <w:t>Defines responsibilities and authorities for AS9110 maintenance activities, including authorization to certify release to service.</w:t>
      </w:r>
    </w:p>
    <w:p>
      <w:pPr>
        <w:pStyle w:val="Heading2"/>
      </w:pPr>
      <w:r>
        <w:t>Applicability</w:t>
      </w:r>
    </w:p>
    <w:p>
      <w:r>
        <w:t>Applies across [the Organization] maintenance and support functions.</w:t>
      </w:r>
    </w:p>
    <w:p>
      <w:pPr>
        <w:pStyle w:val="Heading2"/>
      </w:pPr>
      <w:r>
        <w:t>Responsibilities &amp; Authorities</w:t>
      </w:r>
    </w:p>
    <w:p>
      <w:r>
        <w:t>The [Quality Manager] maintains the matrix and ensures it remains current. Top Management approves changes that affect certification privileges.</w:t>
      </w:r>
    </w:p>
    <w:p>
      <w:pPr>
        <w:pStyle w:val="Heading2"/>
      </w:pPr>
      <w:r>
        <w:t>Process</w:t>
      </w:r>
    </w:p>
    <w:p>
      <w:pPr>
        <w:pStyle w:val="Heading3"/>
      </w:pPr>
      <w:r>
        <w:t>Matrix Usage</w:t>
      </w:r>
    </w:p>
    <w:p>
      <w:r>
        <w:t>Use this matrix to define who does what, who decides, and who approves within maintenance processes.</w:t>
      </w:r>
    </w:p>
    <w:p>
      <w:r>
        <w:t>Include [Accountable Manager], [Quality Manager], [Maintenance Manager], [Certifying Staff], [Stores Supervisor], etc.</w:t>
      </w:r>
    </w:p>
    <w:p>
      <w:pPr>
        <w:pStyle w:val="Heading2"/>
      </w:pPr>
      <w:r>
        <w:t>Opportunities &amp; Risks</w:t>
      </w:r>
    </w:p>
    <w:p>
      <w:r>
        <w:t>Unclear authorities can lead to unauthorized releases or delays.</w:t>
      </w:r>
    </w:p>
    <w:p>
      <w:pPr>
        <w:pStyle w:val="Heading2"/>
      </w:pPr>
      <w:r>
        <w:t>References</w:t>
      </w:r>
    </w:p>
    <w:p>
      <w:r>
        <w:t>AS9110 (current rev.)</w:t>
      </w:r>
    </w:p>
    <w:p>
      <w:pPr>
        <w:pStyle w:val="Heading2"/>
      </w:pPr>
      <w:r>
        <w:t>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 / Acronym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Certifying Staff</w:t>
            </w:r>
          </w:p>
        </w:tc>
        <w:tc>
          <w:tcPr>
            <w:tcW w:type="dxa" w:w="4320"/>
          </w:tcPr>
          <w:p>
            <w:r>
              <w:t>Personnel authorized to certify maintenance completion and release to service.</w:t>
            </w:r>
          </w:p>
        </w:tc>
      </w:tr>
      <w:tr>
        <w:tc>
          <w:tcPr>
            <w:tcW w:type="dxa" w:w="4320"/>
          </w:tcPr>
          <w:p>
            <w:r>
              <w:t>NCR/CAR</w:t>
            </w:r>
          </w:p>
        </w:tc>
        <w:tc>
          <w:tcPr>
            <w:tcW w:type="dxa" w:w="4320"/>
          </w:tcPr>
          <w:p>
            <w:r>
              <w:t>Nonconformance Report / Corrective Action Request.</w:t>
            </w:r>
          </w:p>
        </w:tc>
      </w:tr>
    </w:tbl>
    <w:p/>
    <w:p>
      <w:pPr>
        <w:pStyle w:val="Heading2"/>
      </w:pPr>
      <w:r>
        <w:t>Documented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/ Doc</w:t>
            </w:r>
          </w:p>
        </w:tc>
        <w:tc>
          <w:tcPr>
            <w:tcW w:type="dxa" w:w="2880"/>
          </w:tcPr>
          <w:p>
            <w:r>
              <w:t>Retention / Location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R&amp;A Matrix</w:t>
            </w:r>
          </w:p>
        </w:tc>
        <w:tc>
          <w:tcPr>
            <w:tcW w:type="dxa" w:w="2880"/>
          </w:tcPr>
          <w:p>
            <w:r>
              <w:t>Retain per Category A / QMS Repository</w:t>
            </w:r>
          </w:p>
        </w:tc>
        <w:tc>
          <w:tcPr>
            <w:tcW w:type="dxa" w:w="2880"/>
          </w:tcPr>
          <w:p>
            <w:r>
              <w:t>Quality Manager</w:t>
            </w:r>
          </w:p>
        </w:tc>
      </w:tr>
    </w:tbl>
    <w:p/>
    <w:p>
      <w:pPr>
        <w:pStyle w:val="Heading2"/>
      </w:pPr>
      <w:r>
        <w:t>AS9110 Change Log (vs. AS9100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Clause(s)</w:t>
            </w:r>
          </w:p>
        </w:tc>
        <w:tc>
          <w:tcPr>
            <w:tcW w:type="dxa" w:w="2160"/>
          </w:tcPr>
          <w:p>
            <w:r>
              <w:t>AS9100 Baseline (summary)</w:t>
            </w:r>
          </w:p>
        </w:tc>
        <w:tc>
          <w:tcPr>
            <w:tcW w:type="dxa" w:w="2160"/>
          </w:tcPr>
          <w:p>
            <w:r>
              <w:t>AS9110 Modification</w:t>
            </w:r>
          </w:p>
        </w:tc>
        <w:tc>
          <w:tcPr>
            <w:tcW w:type="dxa" w:w="2160"/>
          </w:tcPr>
          <w:p>
            <w:r>
              <w:t>Reason / Notes</w:t>
            </w:r>
          </w:p>
        </w:tc>
      </w:tr>
      <w:tr>
        <w:tc>
          <w:tcPr>
            <w:tcW w:type="dxa" w:w="2160"/>
          </w:tcPr>
          <w:p>
            <w:r>
              <w:t>5.3, 7.2</w:t>
            </w:r>
          </w:p>
        </w:tc>
        <w:tc>
          <w:tcPr>
            <w:tcW w:type="dxa" w:w="2160"/>
          </w:tcPr>
          <w:p>
            <w:r>
              <w:t>AS9100 roles &amp; authorities</w:t>
            </w:r>
          </w:p>
        </w:tc>
        <w:tc>
          <w:tcPr>
            <w:tcW w:type="dxa" w:w="2160"/>
          </w:tcPr>
          <w:p>
            <w:r>
              <w:t>Added certifying staff authorization and independence of inspection where applicable.</w:t>
            </w:r>
          </w:p>
        </w:tc>
        <w:tc>
          <w:tcPr>
            <w:tcW w:type="dxa" w:w="2160"/>
          </w:tcPr>
          <w:p>
            <w:r>
              <w:t>Maintenance-specific roles included.</w:t>
            </w:r>
          </w:p>
        </w:tc>
      </w:tr>
    </w:tbl>
    <w:p/>
    <w:p>
      <w:pPr>
        <w:pStyle w:val="Heading2"/>
      </w:pPr>
      <w:r>
        <w:t>AS9110 Compliance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Requirement (AS9110)</w:t>
            </w:r>
          </w:p>
        </w:tc>
        <w:tc>
          <w:tcPr>
            <w:tcW w:type="dxa" w:w="2880"/>
          </w:tcPr>
          <w:p>
            <w:r>
              <w:t>Addressed in Section</w:t>
            </w:r>
          </w:p>
        </w:tc>
      </w:tr>
      <w:tr>
        <w:tc>
          <w:tcPr>
            <w:tcW w:type="dxa" w:w="2880"/>
          </w:tcPr>
          <w:p>
            <w:r>
              <w:t>5.3</w:t>
            </w:r>
          </w:p>
        </w:tc>
        <w:tc>
          <w:tcPr>
            <w:tcW w:type="dxa" w:w="2880"/>
          </w:tcPr>
          <w:p>
            <w:r>
              <w:t>Roles/authorities determined and communicated.</w:t>
            </w:r>
          </w:p>
        </w:tc>
        <w:tc>
          <w:tcPr>
            <w:tcW w:type="dxa" w:w="2880"/>
          </w:tcPr>
          <w:p>
            <w:r>
              <w:t>Matrix Usage</w:t>
            </w:r>
          </w:p>
        </w:tc>
      </w:tr>
      <w:tr>
        <w:tc>
          <w:tcPr>
            <w:tcW w:type="dxa" w:w="2880"/>
          </w:tcPr>
          <w:p>
            <w:r>
              <w:t>7.2</w:t>
            </w:r>
          </w:p>
        </w:tc>
        <w:tc>
          <w:tcPr>
            <w:tcW w:type="dxa" w:w="2880"/>
          </w:tcPr>
          <w:p>
            <w:r>
              <w:t>Competence and authorization considered.</w:t>
            </w:r>
          </w:p>
        </w:tc>
        <w:tc>
          <w:tcPr>
            <w:tcW w:type="dxa" w:w="2880"/>
          </w:tcPr>
          <w:p>
            <w:r>
              <w:t>Matrix Usage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2025-08-12</w:t>
            </w:r>
          </w:p>
        </w:tc>
        <w:tc>
          <w:tcPr>
            <w:tcW w:type="dxa" w:w="2160"/>
          </w:tcPr>
          <w:p>
            <w:r>
              <w:t>Converted to AS9110; added maintenance-specific roles and placeholders.</w:t>
            </w:r>
          </w:p>
        </w:tc>
        <w:tc>
          <w:tcPr>
            <w:tcW w:type="dxa" w:w="2160"/>
          </w:tcPr>
          <w:p>
            <w:r>
              <w:t>OQCQMS (Conform-Edge)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