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[Logo]</w:t>
            </w:r>
          </w:p>
        </w:tc>
        <w:tc>
          <w:tcPr>
            <w:tcW w:type="dxa" w:w="2160"/>
          </w:tcPr>
          <w:p>
            <w:r>
              <w:t>[the Organization]</w:t>
            </w:r>
          </w:p>
        </w:tc>
        <w:tc>
          <w:tcPr>
            <w:tcW w:type="dxa" w:w="2160"/>
          </w:tcPr>
          <w:p>
            <w:r>
              <w:t>Document Number</w:t>
            </w:r>
          </w:p>
        </w:tc>
        <w:tc>
          <w:tcPr>
            <w:tcW w:type="dxa" w:w="2160"/>
          </w:tcPr>
          <w:p>
            <w:r>
              <w:t>P-720-01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Competence, Training &amp; Awareness</w:t>
            </w:r>
          </w:p>
        </w:tc>
        <w:tc>
          <w:tcPr>
            <w:tcW w:type="dxa" w:w="2160"/>
          </w:tcPr>
          <w:p>
            <w:r>
              <w:t>Revision</w:t>
            </w:r>
          </w:p>
        </w:tc>
        <w:tc>
          <w:tcPr>
            <w:tcW w:type="dxa" w:w="2160"/>
          </w:tcPr>
          <w:p>
            <w:r>
              <w:t>Rev A</w:t>
            </w:r>
          </w:p>
        </w:tc>
      </w:tr>
    </w:tbl>
    <w:p/>
    <w:p>
      <w:pPr>
        <w:pStyle w:val="Heading2"/>
      </w:pPr>
      <w:r>
        <w:t>Objective</w:t>
      </w:r>
    </w:p>
    <w:p>
      <w:r>
        <w:t>Define how [the Organization] establishes competence requirements, provides training, and maintains authorization/currency for maintenance personnel under AS9110.</w:t>
      </w:r>
    </w:p>
    <w:p>
      <w:pPr>
        <w:pStyle w:val="Heading2"/>
      </w:pPr>
      <w:r>
        <w:t>Applicability</w:t>
      </w:r>
    </w:p>
    <w:p>
      <w:r>
        <w:t>Applies to all personnel performing or verifying maintenance, and support functions affecting maintenance quality.</w:t>
      </w:r>
    </w:p>
    <w:p>
      <w:pPr>
        <w:pStyle w:val="Heading2"/>
      </w:pPr>
      <w:r>
        <w:t>Responsibilities &amp; Authorities</w:t>
      </w:r>
    </w:p>
    <w:p>
      <w:r>
        <w:t>HR maintains training records; the [Quality Manager] ensures regulatory and QMS training; the [Maintenance Manager] authorizes certifying staff and monitors currency.</w:t>
      </w:r>
    </w:p>
    <w:p>
      <w:pPr>
        <w:pStyle w:val="Heading2"/>
      </w:pPr>
      <w:r>
        <w:t>Process</w:t>
      </w:r>
    </w:p>
    <w:p>
      <w:pPr>
        <w:pStyle w:val="Heading3"/>
      </w:pPr>
      <w:r>
        <w:t>Competence Determination (7.2a)</w:t>
      </w:r>
    </w:p>
    <w:p>
      <w:r>
        <w:t>Define competence criteria per task, including regulatory, customer, and OEM requirements.</w:t>
      </w:r>
    </w:p>
    <w:p>
      <w:r>
        <w:t>Identify prerequisites for certifying staff and inspectors.</w:t>
      </w:r>
    </w:p>
    <w:p>
      <w:pPr>
        <w:pStyle w:val="Heading3"/>
      </w:pPr>
      <w:r>
        <w:t>Training &amp; Authorization (7.2b–c)</w:t>
      </w:r>
    </w:p>
    <w:p>
      <w:r>
        <w:t>Provide initial and continuation training (e.g., human factors, company procedures, task-specific).</w:t>
      </w:r>
    </w:p>
    <w:p>
      <w:r>
        <w:t>Assess effectiveness and authorize personnel when criteria are met; document authorization scope and limits.</w:t>
      </w:r>
    </w:p>
    <w:p>
      <w:pPr>
        <w:pStyle w:val="Heading3"/>
      </w:pPr>
      <w:r>
        <w:t>Awareness (7.3)</w:t>
      </w:r>
    </w:p>
    <w:p>
      <w:r>
        <w:t>Ensure personnel are aware of their contribution to product safety, conformity, and risk-based thinking.</w:t>
      </w:r>
    </w:p>
    <w:p>
      <w:pPr>
        <w:pStyle w:val="Heading3"/>
      </w:pPr>
      <w:r>
        <w:t>Records (7.2e)</w:t>
      </w:r>
    </w:p>
    <w:p>
      <w:r>
        <w:t>Maintain training, competence, and authorization records for defined retention periods.</w:t>
      </w:r>
    </w:p>
    <w:p>
      <w:pPr>
        <w:pStyle w:val="Heading2"/>
      </w:pPr>
      <w:r>
        <w:t>Opportunities &amp; Risks</w:t>
      </w:r>
    </w:p>
    <w:p>
      <w:r>
        <w:t>Insufficient competence or lapsed currency can lead to maintenance errors or regulatory findings.</w:t>
      </w:r>
    </w:p>
    <w:p>
      <w:pPr>
        <w:pStyle w:val="Heading2"/>
      </w:pPr>
      <w:r>
        <w:t>References</w:t>
      </w:r>
    </w:p>
    <w:p>
      <w:r>
        <w:t>AS9110 (current rev.)</w:t>
      </w:r>
    </w:p>
    <w:p>
      <w:r>
        <w:t>[WI-720-002 Evaluating Training Effectiveness]</w:t>
      </w:r>
    </w:p>
    <w:p>
      <w:pPr>
        <w:pStyle w:val="Heading2"/>
      </w:pPr>
      <w:r>
        <w:t>Definitions &amp; Acronyms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 / Acronym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Currency</w:t>
            </w:r>
          </w:p>
        </w:tc>
        <w:tc>
          <w:tcPr>
            <w:tcW w:type="dxa" w:w="4320"/>
          </w:tcPr>
          <w:p>
            <w:r>
              <w:t>Ongoing recency of experience or training required to maintain authorization.</w:t>
            </w:r>
          </w:p>
        </w:tc>
      </w:tr>
      <w:tr>
        <w:tc>
          <w:tcPr>
            <w:tcW w:type="dxa" w:w="4320"/>
          </w:tcPr>
          <w:p>
            <w:r>
              <w:t>OJT</w:t>
            </w:r>
          </w:p>
        </w:tc>
        <w:tc>
          <w:tcPr>
            <w:tcW w:type="dxa" w:w="4320"/>
          </w:tcPr>
          <w:p>
            <w:r>
              <w:t>On-the-job training with documented supervision and assessment.</w:t>
            </w:r>
          </w:p>
        </w:tc>
      </w:tr>
    </w:tbl>
    <w:p/>
    <w:p>
      <w:pPr>
        <w:pStyle w:val="Heading2"/>
      </w:pPr>
      <w:r>
        <w:t>Documented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Record / Doc</w:t>
            </w:r>
          </w:p>
        </w:tc>
        <w:tc>
          <w:tcPr>
            <w:tcW w:type="dxa" w:w="2880"/>
          </w:tcPr>
          <w:p>
            <w:r>
              <w:t>Retention / Location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Training Records</w:t>
            </w:r>
          </w:p>
        </w:tc>
        <w:tc>
          <w:tcPr>
            <w:tcW w:type="dxa" w:w="2880"/>
          </w:tcPr>
          <w:p>
            <w:r>
              <w:t>Retain per Category B / HR or QMS Repository</w:t>
            </w:r>
          </w:p>
        </w:tc>
        <w:tc>
          <w:tcPr>
            <w:tcW w:type="dxa" w:w="2880"/>
          </w:tcPr>
          <w:p>
            <w:r>
              <w:t>HR</w:t>
            </w:r>
          </w:p>
        </w:tc>
      </w:tr>
      <w:tr>
        <w:tc>
          <w:tcPr>
            <w:tcW w:type="dxa" w:w="2880"/>
          </w:tcPr>
          <w:p>
            <w:r>
              <w:t>Authorizations</w:t>
            </w:r>
          </w:p>
        </w:tc>
        <w:tc>
          <w:tcPr>
            <w:tcW w:type="dxa" w:w="2880"/>
          </w:tcPr>
          <w:p>
            <w:r>
              <w:t>Retain per Category A / QMS Repository</w:t>
            </w:r>
          </w:p>
        </w:tc>
        <w:tc>
          <w:tcPr>
            <w:tcW w:type="dxa" w:w="2880"/>
          </w:tcPr>
          <w:p>
            <w:r>
              <w:t>Quality / Maintenance</w:t>
            </w:r>
          </w:p>
        </w:tc>
      </w:tr>
    </w:tbl>
    <w:p/>
    <w:p>
      <w:pPr>
        <w:pStyle w:val="Heading2"/>
      </w:pPr>
      <w:r>
        <w:t>AS9110 Change Log (vs. AS9100 Baseline)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Clause(s)</w:t>
            </w:r>
          </w:p>
        </w:tc>
        <w:tc>
          <w:tcPr>
            <w:tcW w:type="dxa" w:w="2160"/>
          </w:tcPr>
          <w:p>
            <w:r>
              <w:t>AS9100 Baseline (summary)</w:t>
            </w:r>
          </w:p>
        </w:tc>
        <w:tc>
          <w:tcPr>
            <w:tcW w:type="dxa" w:w="2160"/>
          </w:tcPr>
          <w:p>
            <w:r>
              <w:t>AS9110 Modification</w:t>
            </w:r>
          </w:p>
        </w:tc>
        <w:tc>
          <w:tcPr>
            <w:tcW w:type="dxa" w:w="2160"/>
          </w:tcPr>
          <w:p>
            <w:r>
              <w:t>Reason / Notes</w:t>
            </w:r>
          </w:p>
        </w:tc>
      </w:tr>
      <w:tr>
        <w:tc>
          <w:tcPr>
            <w:tcW w:type="dxa" w:w="2160"/>
          </w:tcPr>
          <w:p>
            <w:r>
              <w:t>7.2, 7.3</w:t>
            </w:r>
          </w:p>
        </w:tc>
        <w:tc>
          <w:tcPr>
            <w:tcW w:type="dxa" w:w="2160"/>
          </w:tcPr>
          <w:p>
            <w:r>
              <w:t>AS9100 competence &amp; awareness</w:t>
            </w:r>
          </w:p>
        </w:tc>
        <w:tc>
          <w:tcPr>
            <w:tcW w:type="dxa" w:w="2160"/>
          </w:tcPr>
          <w:p>
            <w:r>
              <w:t>Added authorization and currency for certifying staff; expanded continuation training and HF content.</w:t>
            </w:r>
          </w:p>
        </w:tc>
        <w:tc>
          <w:tcPr>
            <w:tcW w:type="dxa" w:w="2160"/>
          </w:tcPr>
          <w:p>
            <w:r>
              <w:t>AS9110 maintenance emphasis.</w:t>
            </w:r>
          </w:p>
        </w:tc>
      </w:tr>
    </w:tbl>
    <w:p/>
    <w:p>
      <w:pPr>
        <w:pStyle w:val="Heading2"/>
      </w:pPr>
      <w:r>
        <w:t>AS9110 Compliance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Clause</w:t>
            </w:r>
          </w:p>
        </w:tc>
        <w:tc>
          <w:tcPr>
            <w:tcW w:type="dxa" w:w="2880"/>
          </w:tcPr>
          <w:p>
            <w:r>
              <w:t>Requirement (AS9110)</w:t>
            </w:r>
          </w:p>
        </w:tc>
        <w:tc>
          <w:tcPr>
            <w:tcW w:type="dxa" w:w="2880"/>
          </w:tcPr>
          <w:p>
            <w:r>
              <w:t>Addressed in Section</w:t>
            </w:r>
          </w:p>
        </w:tc>
      </w:tr>
      <w:tr>
        <w:tc>
          <w:tcPr>
            <w:tcW w:type="dxa" w:w="2880"/>
          </w:tcPr>
          <w:p>
            <w:r>
              <w:t>7.2</w:t>
            </w:r>
          </w:p>
        </w:tc>
        <w:tc>
          <w:tcPr>
            <w:tcW w:type="dxa" w:w="2880"/>
          </w:tcPr>
          <w:p>
            <w:r>
              <w:t>Competence determined; training provided; effectiveness evaluated.</w:t>
            </w:r>
          </w:p>
        </w:tc>
        <w:tc>
          <w:tcPr>
            <w:tcW w:type="dxa" w:w="2880"/>
          </w:tcPr>
          <w:p>
            <w:r>
              <w:t>Competence Determination; Training &amp; Authorization; Records</w:t>
            </w:r>
          </w:p>
        </w:tc>
      </w:tr>
      <w:tr>
        <w:tc>
          <w:tcPr>
            <w:tcW w:type="dxa" w:w="2880"/>
          </w:tcPr>
          <w:p>
            <w:r>
              <w:t>7.3</w:t>
            </w:r>
          </w:p>
        </w:tc>
        <w:tc>
          <w:tcPr>
            <w:tcW w:type="dxa" w:w="2880"/>
          </w:tcPr>
          <w:p>
            <w:r>
              <w:t>Awareness ensured.</w:t>
            </w:r>
          </w:p>
        </w:tc>
        <w:tc>
          <w:tcPr>
            <w:tcW w:type="dxa" w:w="2880"/>
          </w:tcPr>
          <w:p>
            <w:r>
              <w:t>Awareness</w:t>
            </w:r>
          </w:p>
        </w:tc>
      </w:tr>
    </w:tbl>
    <w:p/>
    <w:p>
      <w:pPr>
        <w:pStyle w:val="Heading2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Description of Change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2025-08-12</w:t>
            </w:r>
          </w:p>
        </w:tc>
        <w:tc>
          <w:tcPr>
            <w:tcW w:type="dxa" w:w="2160"/>
          </w:tcPr>
          <w:p>
            <w:r>
              <w:t>AS9110 adaptation with authorization and currency controls.</w:t>
            </w:r>
          </w:p>
        </w:tc>
        <w:tc>
          <w:tcPr>
            <w:tcW w:type="dxa" w:w="2160"/>
          </w:tcPr>
          <w:p>
            <w:r>
              <w:t>OQCQMS (Conform-Edge)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 w:val="0"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