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[Logo]</w:t>
            </w:r>
          </w:p>
        </w:tc>
        <w:tc>
          <w:tcPr>
            <w:tcW w:type="dxa" w:w="2160"/>
          </w:tcPr>
          <w:p>
            <w:r>
              <w:t>[the Organization]</w:t>
            </w:r>
          </w:p>
        </w:tc>
        <w:tc>
          <w:tcPr>
            <w:tcW w:type="dxa" w:w="2160"/>
          </w:tcPr>
          <w:p>
            <w:r>
              <w:t>Document Number</w:t>
            </w:r>
          </w:p>
        </w:tc>
        <w:tc>
          <w:tcPr>
            <w:tcW w:type="dxa" w:w="2160"/>
          </w:tcPr>
          <w:p>
            <w:r>
              <w:t>QM-400-01</w:t>
            </w:r>
          </w:p>
        </w:tc>
      </w:tr>
      <w:tr>
        <w:tc>
          <w:tcPr>
            <w:tcW w:type="dxa" w:w="2160"/>
          </w:tcPr>
          <w:p>
            <w:r/>
          </w:p>
        </w:tc>
        <w:tc>
          <w:tcPr>
            <w:tcW w:type="dxa" w:w="2160"/>
          </w:tcPr>
          <w:p>
            <w:r>
              <w:t>Quality Manual (AS9110)</w:t>
            </w:r>
          </w:p>
        </w:tc>
        <w:tc>
          <w:tcPr>
            <w:tcW w:type="dxa" w:w="2160"/>
          </w:tcPr>
          <w:p>
            <w:r>
              <w:t>Revision</w:t>
            </w:r>
          </w:p>
        </w:tc>
        <w:tc>
          <w:tcPr>
            <w:tcW w:type="dxa" w:w="2160"/>
          </w:tcPr>
          <w:p>
            <w:r>
              <w:t>Rev A</w:t>
            </w:r>
          </w:p>
        </w:tc>
      </w:tr>
    </w:tbl>
    <w:p/>
    <w:p>
      <w:pPr>
        <w:pStyle w:val="Heading2"/>
      </w:pPr>
      <w:r>
        <w:t>Objective</w:t>
      </w:r>
    </w:p>
    <w:p>
      <w:r>
        <w:t>This Quality Manual defines how [the Organization *e.g., Aerotech Maintenance Services*] implements and maintains an AS9110-compliant Quality Management System for aircraft and component maintenance activities. It declares scope, exclusions (if any), and the interaction of QMS processes used to plan, perform, verify, and release maintenance in compliance with applicable aviation authority requirements.</w:t>
      </w:r>
    </w:p>
    <w:p>
      <w:pPr>
        <w:pStyle w:val="Heading2"/>
      </w:pPr>
      <w:r>
        <w:t>Applicability</w:t>
      </w:r>
    </w:p>
    <w:p>
      <w:r>
        <w:t>Applies to all maintenance activities performed by [the Organization] at [listed site(s) *e.g., Main Hangar, Component Shop*], including contracted maintenance performed under control of [the Organization].</w:t>
      </w:r>
    </w:p>
    <w:p>
      <w:pPr>
        <w:pStyle w:val="Heading2"/>
      </w:pPr>
      <w:r>
        <w:t>Responsibilities &amp; Authorities</w:t>
      </w:r>
    </w:p>
    <w:p>
      <w:r>
        <w:t>Top Management ensures the QMS is established, implemented, maintained, and continually improved, and that product safety and airworthiness are protected. The [Accountable Manager] provides resources and ensures compliance with applicable aviation authority requirements. The [Quality Manager] oversees compliance, internal audits, and release-to-service controls. Process Owners manage and monitor their processes.</w:t>
      </w:r>
    </w:p>
    <w:p>
      <w:pPr>
        <w:pStyle w:val="Heading2"/>
      </w:pPr>
      <w:r>
        <w:t>Process</w:t>
      </w:r>
    </w:p>
    <w:p>
      <w:pPr>
        <w:pStyle w:val="Heading3"/>
      </w:pPr>
      <w:r>
        <w:t>Scope &amp; QMS Structure</w:t>
      </w:r>
    </w:p>
    <w:p>
      <w:r>
        <w:t>Scope: [Describe scope of maintenance activities *e.g., Line/Base maintenance for [aircraft type], component overhaul of [ATA chapters]*].</w:t>
      </w:r>
    </w:p>
    <w:p>
      <w:r>
        <w:t>Exclusions: [List justified exclusions, if any, limited to clause(s) not applicable to maintenance scope *e.g., 8.3 Design &amp; Development*].</w:t>
      </w:r>
    </w:p>
    <w:p>
      <w:r>
        <w:t>Process Map: [Reference or include high-level process interaction map].</w:t>
      </w:r>
    </w:p>
    <w:p>
      <w:pPr>
        <w:pStyle w:val="Heading3"/>
      </w:pPr>
      <w:r>
        <w:t>Maintenance Data Control</w:t>
      </w:r>
    </w:p>
    <w:p>
      <w:r>
        <w:t>Ensure availability of current maintenance data at point of use, including revisions, service bulletins, and airworthiness directives.</w:t>
      </w:r>
    </w:p>
    <w:p>
      <w:r>
        <w:t>Control obsolete data and prevent unintended use; retain superseded issues when necessary for traceability.</w:t>
      </w:r>
    </w:p>
    <w:p>
      <w:pPr>
        <w:pStyle w:val="Heading3"/>
      </w:pPr>
      <w:r>
        <w:t>Configuration, Traceability &amp; Foreign Object Prevention</w:t>
      </w:r>
    </w:p>
    <w:p>
      <w:r>
        <w:t>Maintain configuration control of maintained items, including identification and traceability requirements.</w:t>
      </w:r>
    </w:p>
    <w:p>
      <w:r>
        <w:t>Implement FOD prevention practices across all maintenance areas.</w:t>
      </w:r>
    </w:p>
    <w:p>
      <w:pPr>
        <w:pStyle w:val="Heading3"/>
      </w:pPr>
      <w:r>
        <w:t>Personnel Authorization &amp; Competence</w:t>
      </w:r>
    </w:p>
    <w:p>
      <w:r>
        <w:t>Define competence criteria and authorization pathways for certifying staff and support personnel.</w:t>
      </w:r>
    </w:p>
    <w:p>
      <w:r>
        <w:t>Ensure continuity and currency (e.g., recency of experience) are monitored and records retained.</w:t>
      </w:r>
    </w:p>
    <w:p>
      <w:pPr>
        <w:pStyle w:val="Heading3"/>
      </w:pPr>
      <w:r>
        <w:t>Release to Service &amp; Control of Nonconforming Outputs</w:t>
      </w:r>
    </w:p>
    <w:p>
      <w:r>
        <w:t>Release to Service authorized only by designated certifying staff following verification of completed maintenance and records.</w:t>
      </w:r>
    </w:p>
    <w:p>
      <w:r>
        <w:t>Control and disposition of nonconforming maintenance outputs are governed by [P-870-01] and related instructions.</w:t>
      </w:r>
    </w:p>
    <w:p>
      <w:pPr>
        <w:pStyle w:val="Heading2"/>
      </w:pPr>
      <w:r>
        <w:t>Opportunities &amp; Risks</w:t>
      </w:r>
    </w:p>
    <w:p>
      <w:r>
        <w:t>Risks include use of incorrect or outdated maintenance data, configuration errors, human factors, and inadequate tooling or environment. Opportunities include error-proofing at point of use, enhanced digital access to maintenance data, and targeted human factors training.</w:t>
      </w:r>
    </w:p>
    <w:p>
      <w:pPr>
        <w:pStyle w:val="Heading2"/>
      </w:pPr>
      <w:r>
        <w:t>References</w:t>
      </w:r>
    </w:p>
    <w:p>
      <w:r>
        <w:t>AS9110 (current revision)</w:t>
      </w:r>
    </w:p>
    <w:p>
      <w:r>
        <w:t>[Applicable aviation authority requirements *e.g., 14 CFR, EASA*]</w:t>
      </w:r>
    </w:p>
    <w:p>
      <w:r>
        <w:t>[Internal procedures list]</w:t>
      </w:r>
    </w:p>
    <w:p>
      <w:pPr>
        <w:pStyle w:val="Heading2"/>
      </w:pPr>
      <w:r>
        <w:t>Definitions &amp; Acronyms</w:t>
      </w:r>
    </w:p>
    <w:tbl>
      <w:tblPr>
        <w:tblStyle w:val="TableGrid"/>
        <w:tblW w:type="auto" w:w="0"/>
        <w:tblLook w:firstColumn="1" w:firstRow="1" w:lastColumn="0" w:lastRow="0" w:noHBand="0" w:noVBand="1" w:val="04A0"/>
      </w:tblPr>
      <w:tblGrid>
        <w:gridCol w:w="4320"/>
        <w:gridCol w:w="4320"/>
      </w:tblGrid>
      <w:tr>
        <w:tc>
          <w:tcPr>
            <w:tcW w:type="dxa" w:w="4320"/>
          </w:tcPr>
          <w:p>
            <w:r>
              <w:t>Term / Acronym</w:t>
            </w:r>
          </w:p>
        </w:tc>
        <w:tc>
          <w:tcPr>
            <w:tcW w:type="dxa" w:w="4320"/>
          </w:tcPr>
          <w:p>
            <w:r>
              <w:t>Definition</w:t>
            </w:r>
          </w:p>
        </w:tc>
      </w:tr>
      <w:tr>
        <w:tc>
          <w:tcPr>
            <w:tcW w:type="dxa" w:w="4320"/>
          </w:tcPr>
          <w:p>
            <w:r>
              <w:t>Release to Service (RtS)</w:t>
            </w:r>
          </w:p>
        </w:tc>
        <w:tc>
          <w:tcPr>
            <w:tcW w:type="dxa" w:w="4320"/>
          </w:tcPr>
          <w:p>
            <w:r>
              <w:t>Formal attestation that maintenance has been performed and the product is in a condition for safe operation.</w:t>
            </w:r>
          </w:p>
        </w:tc>
      </w:tr>
      <w:tr>
        <w:tc>
          <w:tcPr>
            <w:tcW w:type="dxa" w:w="4320"/>
          </w:tcPr>
          <w:p>
            <w:r>
              <w:t>Maintenance Data</w:t>
            </w:r>
          </w:p>
        </w:tc>
        <w:tc>
          <w:tcPr>
            <w:tcW w:type="dxa" w:w="4320"/>
          </w:tcPr>
          <w:p>
            <w:r>
              <w:t>Current approved and/or accepted instructions for continued airworthiness applicable to the maintenance task.</w:t>
            </w:r>
          </w:p>
        </w:tc>
      </w:tr>
      <w:tr>
        <w:tc>
          <w:tcPr>
            <w:tcW w:type="dxa" w:w="4320"/>
          </w:tcPr>
          <w:p>
            <w:r>
              <w:t>Certifying Staff</w:t>
            </w:r>
          </w:p>
        </w:tc>
        <w:tc>
          <w:tcPr>
            <w:tcW w:type="dxa" w:w="4320"/>
          </w:tcPr>
          <w:p>
            <w:r>
              <w:t>Authorized personnel approved to certify completion of maintenance and release to service.</w:t>
            </w:r>
          </w:p>
        </w:tc>
      </w:tr>
    </w:tbl>
    <w:p/>
    <w:p>
      <w:pPr>
        <w:pStyle w:val="Heading2"/>
      </w:pPr>
      <w:r>
        <w:t>Documented Information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 Doc</w:t>
            </w:r>
          </w:p>
        </w:tc>
        <w:tc>
          <w:tcPr>
            <w:tcW w:type="dxa" w:w="2880"/>
          </w:tcPr>
          <w:p>
            <w:r>
              <w:t>Retention / Location</w:t>
            </w:r>
          </w:p>
        </w:tc>
        <w:tc>
          <w:tcPr>
            <w:tcW w:type="dxa" w:w="2880"/>
          </w:tcPr>
          <w:p>
            <w:r>
              <w:t>Owner</w:t>
            </w:r>
          </w:p>
        </w:tc>
      </w:tr>
      <w:tr>
        <w:tc>
          <w:tcPr>
            <w:tcW w:type="dxa" w:w="2880"/>
          </w:tcPr>
          <w:p>
            <w:r>
              <w:t>Quality Manual</w:t>
            </w:r>
          </w:p>
        </w:tc>
        <w:tc>
          <w:tcPr>
            <w:tcW w:type="dxa" w:w="2880"/>
          </w:tcPr>
          <w:p>
            <w:r>
              <w:t>Retain per Category A / QMS Repository</w:t>
            </w:r>
          </w:p>
        </w:tc>
        <w:tc>
          <w:tcPr>
            <w:tcW w:type="dxa" w:w="2880"/>
          </w:tcPr>
          <w:p>
            <w:r>
              <w:t>Quality Manager</w:t>
            </w:r>
          </w:p>
        </w:tc>
      </w:tr>
      <w:tr>
        <w:tc>
          <w:tcPr>
            <w:tcW w:type="dxa" w:w="2880"/>
          </w:tcPr>
          <w:p>
            <w:r>
              <w:t>Process Interaction Map</w:t>
            </w:r>
          </w:p>
        </w:tc>
        <w:tc>
          <w:tcPr>
            <w:tcW w:type="dxa" w:w="2880"/>
          </w:tcPr>
          <w:p>
            <w:r>
              <w:t>Retain per Category B / QMS Repository</w:t>
            </w:r>
          </w:p>
        </w:tc>
        <w:tc>
          <w:tcPr>
            <w:tcW w:type="dxa" w:w="2880"/>
          </w:tcPr>
          <w:p>
            <w:r>
              <w:t>Quality Manager</w:t>
            </w:r>
          </w:p>
        </w:tc>
      </w:tr>
    </w:tbl>
    <w:p/>
    <w:p>
      <w:pPr>
        <w:pStyle w:val="Heading2"/>
      </w:pPr>
      <w:r>
        <w:t>AS9110 Change Log (vs. AS9100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Clause(s)</w:t>
            </w:r>
          </w:p>
        </w:tc>
        <w:tc>
          <w:tcPr>
            <w:tcW w:type="dxa" w:w="2160"/>
          </w:tcPr>
          <w:p>
            <w:r>
              <w:t>AS9100 Baseline (summary)</w:t>
            </w:r>
          </w:p>
        </w:tc>
        <w:tc>
          <w:tcPr>
            <w:tcW w:type="dxa" w:w="2160"/>
          </w:tcPr>
          <w:p>
            <w:r>
              <w:t>AS9110 Modification</w:t>
            </w:r>
          </w:p>
        </w:tc>
        <w:tc>
          <w:tcPr>
            <w:tcW w:type="dxa" w:w="2160"/>
          </w:tcPr>
          <w:p>
            <w:r>
              <w:t>Reason / Notes</w:t>
            </w:r>
          </w:p>
        </w:tc>
      </w:tr>
      <w:tr>
        <w:tc>
          <w:tcPr>
            <w:tcW w:type="dxa" w:w="2160"/>
          </w:tcPr>
          <w:p>
            <w:r>
              <w:t>4, 7.5, 8.5.1, 8.7, 8.6</w:t>
            </w:r>
          </w:p>
        </w:tc>
        <w:tc>
          <w:tcPr>
            <w:tcW w:type="dxa" w:w="2160"/>
          </w:tcPr>
          <w:p>
            <w:r>
              <w:t>AS9100 general QMS manual for design/production</w:t>
            </w:r>
          </w:p>
        </w:tc>
        <w:tc>
          <w:tcPr>
            <w:tcW w:type="dxa" w:w="2160"/>
          </w:tcPr>
          <w:p>
            <w:r>
              <w:t>Added maintenance-data availability, RtS, configuration/traceability for maintenance, and human factors emphasis.</w:t>
            </w:r>
          </w:p>
        </w:tc>
        <w:tc>
          <w:tcPr>
            <w:tcW w:type="dxa" w:w="2160"/>
          </w:tcPr>
          <w:p>
            <w:r>
              <w:t>Adapted to maintenance organization context per AS9110.</w:t>
            </w:r>
          </w:p>
        </w:tc>
      </w:tr>
    </w:tbl>
    <w:p/>
    <w:p>
      <w:pPr>
        <w:pStyle w:val="Heading2"/>
      </w:pPr>
      <w:r>
        <w:t>AS9110 Compliance Verification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Clause</w:t>
            </w:r>
          </w:p>
        </w:tc>
        <w:tc>
          <w:tcPr>
            <w:tcW w:type="dxa" w:w="2880"/>
          </w:tcPr>
          <w:p>
            <w:r>
              <w:t>Requirement (AS9110)</w:t>
            </w:r>
          </w:p>
        </w:tc>
        <w:tc>
          <w:tcPr>
            <w:tcW w:type="dxa" w:w="2880"/>
          </w:tcPr>
          <w:p>
            <w:r>
              <w:t>Addressed in Section</w:t>
            </w:r>
          </w:p>
        </w:tc>
      </w:tr>
      <w:tr>
        <w:tc>
          <w:tcPr>
            <w:tcW w:type="dxa" w:w="2880"/>
          </w:tcPr>
          <w:p>
            <w:r>
              <w:t>4.3</w:t>
            </w:r>
          </w:p>
        </w:tc>
        <w:tc>
          <w:tcPr>
            <w:tcW w:type="dxa" w:w="2880"/>
          </w:tcPr>
          <w:p>
            <w:r>
              <w:t>Scope includes maintenance activities and exclusions justified.</w:t>
            </w:r>
          </w:p>
        </w:tc>
        <w:tc>
          <w:tcPr>
            <w:tcW w:type="dxa" w:w="2880"/>
          </w:tcPr>
          <w:p>
            <w:r>
              <w:t>Scope &amp; QMS Structure</w:t>
            </w:r>
          </w:p>
        </w:tc>
      </w:tr>
      <w:tr>
        <w:tc>
          <w:tcPr>
            <w:tcW w:type="dxa" w:w="2880"/>
          </w:tcPr>
          <w:p>
            <w:r>
              <w:t>7.5</w:t>
            </w:r>
          </w:p>
        </w:tc>
        <w:tc>
          <w:tcPr>
            <w:tcW w:type="dxa" w:w="2880"/>
          </w:tcPr>
          <w:p>
            <w:r>
              <w:t>Maintenance data controlled and current at point of use.</w:t>
            </w:r>
          </w:p>
        </w:tc>
        <w:tc>
          <w:tcPr>
            <w:tcW w:type="dxa" w:w="2880"/>
          </w:tcPr>
          <w:p>
            <w:r>
              <w:t>Maintenance Data Control</w:t>
            </w:r>
          </w:p>
        </w:tc>
      </w:tr>
      <w:tr>
        <w:tc>
          <w:tcPr>
            <w:tcW w:type="dxa" w:w="2880"/>
          </w:tcPr>
          <w:p>
            <w:r>
              <w:t>8.6</w:t>
            </w:r>
          </w:p>
        </w:tc>
        <w:tc>
          <w:tcPr>
            <w:tcW w:type="dxa" w:w="2880"/>
          </w:tcPr>
          <w:p>
            <w:r>
              <w:t>Release to Service authorized and controlled.</w:t>
            </w:r>
          </w:p>
        </w:tc>
        <w:tc>
          <w:tcPr>
            <w:tcW w:type="dxa" w:w="2880"/>
          </w:tcPr>
          <w:p>
            <w:r>
              <w:t>Release to Service &amp; Control of Nonconforming Outputs</w:t>
            </w:r>
          </w:p>
        </w:tc>
      </w:tr>
    </w:tbl>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w:t>
            </w:r>
          </w:p>
        </w:tc>
        <w:tc>
          <w:tcPr>
            <w:tcW w:type="dxa" w:w="2160"/>
          </w:tcPr>
          <w:p>
            <w:r>
              <w:t>Date</w:t>
            </w:r>
          </w:p>
        </w:tc>
        <w:tc>
          <w:tcPr>
            <w:tcW w:type="dxa" w:w="2160"/>
          </w:tcPr>
          <w:p>
            <w:r>
              <w:t>Description of Change</w:t>
            </w:r>
          </w:p>
        </w:tc>
        <w:tc>
          <w:tcPr>
            <w:tcW w:type="dxa" w:w="2160"/>
          </w:tcPr>
          <w:p>
            <w:r>
              <w:t>Author</w:t>
            </w:r>
          </w:p>
        </w:tc>
      </w:tr>
      <w:tr>
        <w:tc>
          <w:tcPr>
            <w:tcW w:type="dxa" w:w="2160"/>
          </w:tcPr>
          <w:p>
            <w:r>
              <w:t>A</w:t>
            </w:r>
          </w:p>
        </w:tc>
        <w:tc>
          <w:tcPr>
            <w:tcW w:type="dxa" w:w="2160"/>
          </w:tcPr>
          <w:p>
            <w:r>
              <w:t>2025-08-12</w:t>
            </w:r>
          </w:p>
        </w:tc>
        <w:tc>
          <w:tcPr>
            <w:tcW w:type="dxa" w:w="2160"/>
          </w:tcPr>
          <w:p>
            <w:r>
              <w:t>Initial AS9110 template conversion with placeholders and maintenance-specific content.</w:t>
            </w:r>
          </w:p>
        </w:tc>
        <w:tc>
          <w:tcPr>
            <w:tcW w:type="dxa" w:w="2160"/>
          </w:tcPr>
          <w:p>
            <w:r>
              <w:t>OQCQMS (Conform-Edge)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