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P-720-01 Competence, Training and Awareness (ISO 9001 Version)</w:t>
      </w:r>
    </w:p>
    <w:p>
      <w:r>
        <w:t>Objective</w:t>
      </w:r>
    </w:p>
    <w:p>
      <w:r>
        <w:t>Applicability</w:t>
      </w:r>
    </w:p>
    <w:p>
      <w:r>
        <w:t>This procedure applies to all permanent, temporary, and contract personnel—on-site or remote—whose tasks influence planning, design, procurement, production, inspection, test, storage, servicing, or disposal of aviation, space, or defense products within the QMS scope.</w:t>
      </w:r>
    </w:p>
    <w:p>
      <w:r>
        <w:t>Responsibilities and Authorities</w:t>
      </w:r>
    </w:p>
    <w:p>
      <w:r>
        <w:t>Top Management: Approves this procedure, reviews competence Key Performance Indicators (KPIs), and assigns necessary resources.</w:t>
      </w:r>
    </w:p>
    <w:p>
      <w:r>
        <w:t>Human Resources (HR) Manager: Maintains job requirements, verifies credentials, qualifies external training providers, controls training records within the Learning Management System (LMS), and ensures their backup per [P-712-01 Information-Technology &amp; Cybersecurity].</w:t>
      </w:r>
    </w:p>
    <w:p>
      <w:r>
        <w:t>Quality Manager: Specifies QMS-specific awareness topics, audits training effectiveness, and logs unresolved skill-gap risks on [F-610-001 Risk &amp; Opportunity Worksheet].</w:t>
      </w:r>
    </w:p>
    <w:p>
      <w:r>
        <w:t>Department Managers: Identify job-specific training needs, authorize Training Action Plans, and evaluate effectiveness against defined criteria.</w:t>
      </w:r>
    </w:p>
    <w:p>
      <w:r>
        <w:t>IT Manager: Hosts the LMS and ensures access, confidentiality, and daily backup operations.</w:t>
      </w:r>
    </w:p>
    <w:p>
      <w:r>
        <w:t>Trainers / Mentors: Deliver training and provide completion sign-off once competence is demonstrated by the employee.</w:t>
      </w:r>
    </w:p>
    <w:p>
      <w:r>
        <w:t>Employees: Complete assigned training, apply acquired knowledge, protect their credentials, and attend annual awareness refreshers.</w:t>
      </w:r>
    </w:p>
    <w:p>
      <w:r>
        <w:t>Definitions</w:t>
      </w:r>
    </w:p>
    <w:p>
      <w:r>
        <w:t>The following table provides definitions for key terms used within this procedure:</w:t>
      </w:r>
    </w:p>
    <w:p/>
    <w:p>
      <w:r>
        <w:t>Process</w:t>
      </w:r>
    </w:p>
    <w:p>
      <w:r>
        <w:t>1. Determining Competence Requirements</w:t>
      </w:r>
    </w:p>
    <w:p>
      <w:r>
        <w:t>This sub-process defines and maintains the competence requirements for all roles within [Organization Name] that affect the QMS. The HR Manager maintains a controlled Master Job-Description File, which serves as the primary input, alongside strategic direction and any changes in operational roles. Each job description specifies required education, certifications, hard skills, and behavioral competencies (e.g., leadership, teamwork). These descriptions are reviewed annually and whenever the role changes significantly to ensure continued relevance and alignment with organizational needs. The output of this activity is a controlled and updated Master Job-Description File with defined competence profiles for all relevant positions. Key performance indicators for this step include the percentage of job descriptions reviewed on schedule and the timeliness of updating job descriptions following significant role changes.</w:t>
      </w:r>
    </w:p>
    <w:p>
      <w:r>
        <w:t>2. Credential Verification and Onboarding</w:t>
      </w:r>
    </w:p>
    <w:p>
      <w:r>
        <w:t>This sub-process ensures that all personnel possess the necessary qualifications and addresses any competence gaps identified upon hiring or reassignment. Inputs for this step include new hire or reassignment requests, the established job descriptions from F-720-003 specifying required competencies, and candidate resumes, degrees, licenses, or prior experience documentation. Before hire or reassignment, HR validates degrees, licenses, or prior experience by reviewing original documents, accredited transcripts, or supervisor references. If original proof is unavailable, HR secures written verification directly from the issuing authority (e.g., educational institution, licensing board). Any identified competence gaps are then documented in a Training Action Plan ([F-720-001 Training Action Plan]), which includes a target completion date and an evaluation method. The outputs are validated employee credentials, identified and documented competence gaps, and completed Training Action Plans ([F-720-001 Training Action Plan]) for new hires or reassignments. Performance indicators include the percentage of new hires with verified credentials within 30 days of their start date and the percentage of identified skill gaps that have a corresponding Training Action Plan.</w:t>
      </w:r>
    </w:p>
    <w:p>
      <w:r>
        <w:t>3. Training Planning and Delivery</w:t>
      </w:r>
    </w:p>
    <w:p>
      <w:r>
        <w:t>4. Evaluating Training Effectiveness</w:t>
      </w:r>
    </w:p>
    <w:p>
      <w:r>
        <w:t>This sub-process rigorously assesses whether training objectives have been achieved and if the desired competence has been attained and maintained. Inputs include records of completed training activities, the Employee Training Summary ([F-720-004 Employee Training Summary]), and predefined training effectiveness criteria. Within thirty days of training completion, the Department Manager measures effectiveness against these criteria: a written or on-line test requiring a minimum score of ≥ 80 %; an observed task audit with zero major non-conformities and ≤ 1 minor non-conformity in two consecutive jobs; a measurable KPI improvement of ≥ 2 % better than baseline in relevant metrics (e.g., first-pass-yield, defect-rate); or the absence of skill-related non-conformity findings at the next internal audit related to the trained process. Results of effectiveness evaluations are documented on the Employee Training Summary ([F-720-004 Employee Training Summary]). Training determined to be ineffective requires revision of the Training Action Plan, and if the ineffectiveness indicates a systemic issue, a Corrective Action is opened under [P-880-01 Corrective Action]. The outputs include documented training effectiveness results, revised Training Action Plans for ineffective training instances, and Corrective Action Requests initiated for systemic training deficiencies. Performance indicators for this phase are the overall training effectiveness pass rate, the number of Corrective Actions initiated due to identified ineffective training, and the timeliness of effectiveness evaluations (percentage completed within 30 days).</w:t>
      </w:r>
    </w:p>
    <w:p>
      <w:r>
        <w:t>5. Maintaining Awareness</w:t>
      </w:r>
    </w:p>
    <w:p>
      <w:r>
        <w:t>6. Record Retention and Protection</w:t>
      </w:r>
    </w:p>
    <w:p>
      <w:r>
        <w:t>This sub-process ensures that all competence and training records are properly managed, retained, and protected in accordance with QMS requirements and data security protocols. Inputs consist of all completed competence and training forms (e.g., F-720-001, F-720-002, F-720-003, F-720-004) and all data generated and stored within the Learning Management System (LMS). HR scans all F-720-series forms into the LMS within five working days of completion. Original hard copies of these forms are then archived for a minimum period of five years. The LMS data is systematically backed up nightly to an Off-site Tier-3 facility, as detailed in [P-712-01 Information-Technology &amp; Cybersecurity] and [WI-712-001 IT-Security &amp; Backup Management], to ensure data integrity and availability. Read-only access to training records within the LMS is provided to internal and external auditors upon legitimate request, ensuring transparent oversight. The outputs include digitized competence and training records securely stored within the LMS, securely archived physical records, and ensured data integrity and accessibility of all electronic records. Key performance indicators for this step are the timeliness of record scanning (percentage of forms scanned within 5 working days) and the successful LMS backup rate.</w:t>
      </w:r>
    </w:p>
    <w:p>
      <w:r>
        <w:t>Opportunities and Risks</w:t>
      </w:r>
    </w:p>
    <w:p>
      <w:r>
        <w:t>[Organization Name] integrates competence and awareness management into its risk-based thinking process to ensure the QMS achieves its intended results, enhances desirable effects, prevents or reduces undesired effects, and supports continual improvement. Unresolved competence gaps or repeated ineffective training events are systematically added to the Risk &amp; Opportunity Worksheet (F-610-001 Risk &amp; Opportunity Worksheet]) for analysis and potential mitigation actions. Risks associated with inadequate competence or awareness, such as product nonconformity, safety incidents, or operational inefficiencies, are identified, assessed, and actions are planned to address them, ensuring product conformity and safety. Conversely, opportunities for enhancing competence (e.g., through investments in new technologies, advanced training methodologies, or knowledge-sharing initiatives) are also identified and pursued to drive organizational growth and continuous improvement.</w:t>
      </w:r>
    </w:p>
    <w:p>
      <w:r>
        <w:t>Compliance Framework and References</w:t>
      </w:r>
    </w:p>
    <w:p>
      <w:r>
        <w:t>This procedure ensures compliance with:</w:t>
      </w:r>
    </w:p>
    <w:p>
      <w:r>
        <w:t>[AS 9100 D – Clauses 7.2 &amp; 7.3]</w:t>
      </w:r>
    </w:p>
    <w:p>
      <w:r>
        <w:t>[ISO 9001:2015 + Amd 1:2024] (climate-change wording)</w:t>
      </w:r>
    </w:p>
    <w:p>
      <w:r>
        <w:t>[P-600-01 Planning of the QMS]</w:t>
      </w:r>
    </w:p>
    <w:p>
      <w:r>
        <w:t>[P-710-01 Resource Management]</w:t>
      </w:r>
    </w:p>
    <w:p>
      <w:r>
        <w:t>[P-712-01 Information-Technology &amp; Cybersecurity]</w:t>
      </w:r>
    </w:p>
    <w:p>
      <w:r>
        <w:t>[P-750-01 Control of Documented Information]</w:t>
      </w:r>
    </w:p>
    <w:p>
      <w:r>
        <w:t>[P-1020-01 Corrective Action]</w:t>
      </w:r>
    </w:p>
    <w:p>
      <w:r>
        <w:t>[F-610-001 Risk &amp; Opportunity Worksheet]</w:t>
      </w:r>
    </w:p>
    <w:p>
      <w:r>
        <w:t>[F-720-001 Training Action Plan (incl. External Trainer Checklist)]</w:t>
      </w:r>
    </w:p>
    <w:p>
      <w:r>
        <w:t>[F-720-002 Group Training Record]</w:t>
      </w:r>
    </w:p>
    <w:p>
      <w:r>
        <w:t>[F-720-003 Job Description Form]</w:t>
      </w:r>
    </w:p>
    <w:p>
      <w:r>
        <w:t>[F-720-004 Employee Training Summary]</w:t>
      </w:r>
    </w:p>
    <w:p>
      <w:r>
        <w:t>[WI-712-001 IT-Security &amp; Backup Management]</w:t>
      </w:r>
    </w:p>
    <w:p>
      <w:r>
        <w:t>[WI-710-003 Organizational Knowledge Capture]</w:t>
      </w:r>
    </w:p>
    <w:p>
      <w:r>
        <w:t>Documented Information</w:t>
      </w:r>
    </w:p>
    <w:p>
      <w:r>
        <w:t>[Organization Name] maintains documented information necessary to support the operation of this procedure, including:</w:t>
      </w:r>
    </w:p>
    <w:p>
      <w:r>
        <w:t>Revision History</w:t>
      </w:r>
    </w:p>
    <w:p>
      <w:r>
        <w:t>The following table:</w:t>
      </w:r>
    </w:p>
    <w:p>
      <w:r>
        <w:t>Record of Review</w:t>
      </w:r>
    </w:p>
    <w:p>
      <w:r>
        <w:t>The following table: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