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P-750-01 Control of Documented Information (ISO 9001 Version)</w:t>
      </w:r>
    </w:p>
    <w:p>
      <w:r>
        <w:t>OBJECTIVE</w:t>
      </w:r>
    </w:p>
    <w:p>
      <w:r>
        <w:t>This procedure explains how [Organization] determines the documented information required by its Quality Management System (QMS), creates and updates that information, and maintains control over it so that it is available where needed, remains suitable for use, and is protected for the period prescribed. The text fulfils every requirement of AS 9100 Rev D § 7.5 and is written as a statement of what the organization does, not detailed work instructions.</w:t>
      </w:r>
    </w:p>
    <w:p>
      <w:r>
        <w:t>APPLICABILITY</w:t>
      </w:r>
    </w:p>
    <w:p>
      <w:r>
        <w:t>The procedure applies to every function, process, and physical or virtual location within the scope of the QMS. It also governs any external document (customer, statutory, regulatory, or industry) while that document is under [Organization]’s control.</w:t>
      </w:r>
    </w:p>
    <w:p>
      <w:r>
        <w:t>RESPONSIBILITIES AND AUTHORITIES</w:t>
      </w:r>
    </w:p>
    <w:p>
      <w:r>
        <w:t>Top Management formally approves this procedure, ensures resources are available, and reviews its performance during Management Review.</w:t>
      </w:r>
    </w:p>
    <w:p>
      <w:r>
        <w:t>Quality Assurance administers the [Document Management System], reviews drafts for compliance, coordinates approvals, releases controlled revisions, audits adherence to this procedure (e.g., through internal audits or periodic checks), and maintains the document-nomenclature register and master revision log.</w:t>
      </w:r>
    </w:p>
    <w:p>
      <w:r>
        <w:t>Process Owners and Subject-Matter Experts are authorised to originate new documents; they confirm technical accuracy, complete content, and submit drafts to Quality Assurance.</w:t>
      </w:r>
    </w:p>
    <w:p>
      <w:r>
        <w:t>Information-Technology personnel protect the electronic repositories to maintain confidentiality, integrity, availability, and disaster-recovery capability.</w:t>
      </w:r>
    </w:p>
    <w:p>
      <w:r>
        <w:t>All personnel must use only the current, approved versions of documented information and must notify Quality Assurance immediately if an obsolete, damaged, or mis-referenced copy is found.</w:t>
      </w:r>
    </w:p>
    <w:p>
      <w:r>
        <w:t>Definitions and Acronyms</w:t>
      </w:r>
    </w:p>
    <w:p>
      <w:r>
        <w:t>Document Nomenclature and Identification</w:t>
      </w:r>
    </w:p>
    <w:p>
      <w:r>
        <w:t>REVISION CODING</w:t>
      </w:r>
    </w:p>
    <w:p>
      <w:r>
        <w:t>Draft documents carry a dash “–”. The initial release is “A”. Approved changes proceed “B, C, … Z, AA, AB …”. The Document Management System records the revision code, effective date, change description, and approving signatures. Superseded versions are labelled “Superseded” and retained for the period defined in Appendix 1.</w:t>
      </w:r>
    </w:p>
    <w:p>
      <w:r>
        <w:t>PROCEDURE</w:t>
      </w:r>
    </w:p>
    <w:p>
      <w:r>
        <w:t>Determination of Documented Information Requirements</w:t>
      </w:r>
    </w:p>
    <w:p>
      <w:r>
        <w:t>Process Owners review their processes at least once a year—or earlier if significant changes arise—to confirm that all documented information needed to plan, operate, and control the process is identified, current, and adequate. This annual review is scheduled and tracked by Quality Assurance. Triggers for earlier reviews include contract changes, regulatory updates, technology changes, or revised risk assessments. New requirements are logged in the Document Management System, initiating the creation or revision workflow.</w:t>
      </w:r>
    </w:p>
    <w:p>
      <w:r>
        <w:t>Creation and Updating of Documents</w:t>
      </w:r>
    </w:p>
    <w:p>
      <w:r>
        <w:t>An authorised Process Owner or Subject-Matter Expert selects the correct template, assigns the next sequential number, and drafts the content. The draft undergoes peer review for technical integrity, followed by Quality Assurance review for clause alignment, terminology consistency, and readability. Quality Assurance secures all required approvals and releases the document exclusively through the Document Management System. Printed or locally saved copies are automatically marked “Uncontrolled Once Printed – verify current revision in [Document Management System]”. All proposed revisions are submitted on form F-750-002. Quality Assurance evaluates each change for its effect on risk, training, and related documentation before assigning the next alpha revision and an effective date.</w:t>
      </w:r>
    </w:p>
    <w:p>
      <w:r>
        <w:t>Control of Documents and Records</w:t>
      </w:r>
    </w:p>
    <w:p>
      <w:r>
        <w:t>Current versions are accessible to authorised users through secure links at points of use (e.g., dedicated QMS portal, shared network drives, or integrated production control systems). Access permissions for authorised users are defined and managed within the [Document Management System] based on roles and responsibilities. Where electronic access is impractical, Quality Assurance may issue time-limited offline copies recorded in an issue-and-return log. Role-based permissions, multifactor authentication, encryption in transit and at rest, and scheduled back-ups maintain confidentiality, integrity, and availability. Information-Technology tests back-up restoration at least quarterly. Release notifications are distributed automatically; live documents are never e-mailed as attachments—only hyperlinks are sent. The system audit trail captures every create, revise, retrieve, archive, and dispose event.</w:t>
      </w:r>
    </w:p>
    <w:p>
      <w:r>
        <w:t>Control of External Documented Information</w:t>
      </w:r>
    </w:p>
    <w:p>
      <w:r>
        <w:t>External standards, customer drawings, and regulatory publications that are essential to the QMS are listed in the External Documents Register. An owner is assigned to each entry and must verify current revision status at defined intervals (default quarterly) or upon notification from the issuer. Users confirm current revision status before referring to an external document.</w:t>
      </w:r>
    </w:p>
    <w:p>
      <w:r>
        <w:t>Retention, Preservation, and Disposition of Records</w:t>
      </w:r>
    </w:p>
    <w:p>
      <w:r>
        <w:t>Appendix 1 specifies minimum retention periods. Electronic files reside on redundant servers; physical media, when required, are stored in secure, fire-resistant cabinets. Quality Assurance samples archived records annually to confirm readability. Before destruction, Quality Assurance checks for legal holds, customer cases, regulatory actions, or safety investigations. Electronic data are destroyed through digital shredding; paper records are cross-cut shredded or destroyed by a certified contractor. Each destruction event is logged.</w:t>
      </w:r>
    </w:p>
    <w:p>
      <w:r>
        <w:t>Performance Monitoring and Improvement</w:t>
      </w:r>
    </w:p>
    <w:p>
      <w:r>
        <w:t>Quality Assurance tracks document-control metrics—timely review completion, overdue revisions, retrieval errors, and audit findings. Trends are analysed and reported in Management Review; recurring issues trigger corrective action. The "Record of Review" table (see below) is maintained to formally track review events.</w:t>
      </w:r>
    </w:p>
    <w:p>
      <w:r>
        <w:t>Internal Audit Verification</w:t>
      </w:r>
    </w:p>
    <w:p>
      <w:r>
        <w:t>Internal auditors sample maintained documents and retained records to confirm availability of current versions, effectiveness of protection measures, and traceability. Objective evidence includes screen captures of revision histories and access logs plus workstation observations.</w:t>
      </w:r>
    </w:p>
    <w:p>
      <w:r>
        <w:t>REFERENCES</w:t>
      </w:r>
    </w:p>
    <w:p>
      <w:r>
        <w:t xml:space="preserve">AS 9100 Rev D § 7.5; </w:t>
      </w:r>
    </w:p>
    <w:p>
      <w:r>
        <w:t xml:space="preserve">ISO 9000:2015 definitions; </w:t>
      </w:r>
    </w:p>
    <w:p>
      <w:r>
        <w:t xml:space="preserve">template T-750-16; </w:t>
      </w:r>
    </w:p>
    <w:p>
      <w:r>
        <w:t xml:space="preserve">form F-750-002 Document Change Request; </w:t>
      </w:r>
    </w:p>
    <w:p>
      <w:r>
        <w:t xml:space="preserve">form F-750-003 External Documents Register; </w:t>
      </w:r>
    </w:p>
    <w:p>
      <w:r>
        <w:t>Revision History</w:t>
      </w:r>
    </w:p>
    <w:p/>
    <w:p>
      <w:r>
        <w:t>Record of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