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27430" w14:textId="77777777" w:rsidR="00C22D9E" w:rsidRPr="00B23887" w:rsidRDefault="00C22D9E" w:rsidP="00A934B2">
      <w:pPr>
        <w:pStyle w:val="Heading1"/>
        <w:spacing w:afterLines="200" w:after="480" w:line="240" w:lineRule="auto"/>
        <w:ind w:left="0" w:hanging="2"/>
        <w:contextualSpacing/>
      </w:pPr>
      <w:r w:rsidRPr="00B23887">
        <w:t>Objective</w:t>
      </w:r>
    </w:p>
    <w:p w14:paraId="7CC034D1"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This procedure defines how [Organization Name] systematically demonstrates leadership and commitment to the Quality Management System (QMS) in compliance with ISO 9001:2015 Clause 5. [Organization Name] maintains a Quality Policy, promotes customer focus, assigns responsibilities and authorities, and integrates QMS requirements into its business processes to support continual improvement. This ensures that the QMS is effective, meets applicable requirements, and achieves intended results.</w:t>
      </w:r>
    </w:p>
    <w:p w14:paraId="74B73EE4" w14:textId="77777777" w:rsidR="00C22D9E" w:rsidRPr="00C22D9E" w:rsidRDefault="00C22D9E" w:rsidP="00A934B2">
      <w:pPr>
        <w:pStyle w:val="Heading1"/>
        <w:spacing w:afterLines="200" w:after="480" w:line="240" w:lineRule="auto"/>
        <w:ind w:left="0" w:hanging="2"/>
        <w:contextualSpacing/>
      </w:pPr>
      <w:r w:rsidRPr="00C22D9E">
        <w:t>Applicability</w:t>
      </w:r>
    </w:p>
    <w:p w14:paraId="34F4B288"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This procedure applies to all organizational functions, activities, and personnel involved in the planning, operation, monitoring, and continual improvement of the QMS at [Organization Name]. It is applicable to all products, services, operational sites, and regulatory environments within the defined scope of the QMS.</w:t>
      </w:r>
    </w:p>
    <w:p w14:paraId="2A71CF11" w14:textId="77777777" w:rsidR="00C22D9E" w:rsidRPr="00C22D9E" w:rsidRDefault="00C22D9E" w:rsidP="00A934B2">
      <w:pPr>
        <w:pStyle w:val="Heading1"/>
        <w:spacing w:afterLines="200" w:after="480" w:line="240" w:lineRule="auto"/>
        <w:ind w:left="0" w:hanging="2"/>
        <w:contextualSpacing/>
      </w:pPr>
      <w:r w:rsidRPr="00C22D9E">
        <w:t>Responsibilities and Authorities</w:t>
      </w:r>
    </w:p>
    <w:p w14:paraId="6B2199D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 Is responsible for determining and monitoring internal and external issues and the needs and expectations of interested parties relevant to the QMS. Top Management also approves this procedure and regularly reviews and approves the documented context, interested parties, and scope of the QMS.</w:t>
      </w:r>
    </w:p>
    <w:p w14:paraId="03179EB5"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Accountable Manager: Supports Top Management by gathering, maintaining, and updating information concerning internal and external issues, interested parties, and regulatory changes. This role ensures this information is reviewed at Management Review.</w:t>
      </w:r>
    </w:p>
    <w:p w14:paraId="3C3031E3"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Department Managers: Ensure that roles and responsibilities within their functions are understood and fulfilled, supporting customer satisfaction and quality objectives. They communicate assigned responsibilities to their teams and verify that personnel complete required competence and awareness training per the Competence, Training, and Awareness Procedure (P-720-01).</w:t>
      </w:r>
    </w:p>
    <w:p w14:paraId="1FF6AAC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All employees: Understand their individual contributions to QMS objectives by acknowledging role descriptions in the Responsibility Matrix (A-500-002) and by following the Control of Documented Information Procedure (P-750-01) when procedure updates affect their activities. Continuous reinforcement of these expectations occurs through targeted coaching sessions and performance evaluations.</w:t>
      </w:r>
    </w:p>
    <w:p w14:paraId="550298EA" w14:textId="77777777" w:rsidR="00C22D9E" w:rsidRPr="00C22D9E" w:rsidRDefault="00C22D9E" w:rsidP="00A934B2">
      <w:pPr>
        <w:pStyle w:val="Heading1"/>
        <w:spacing w:afterLines="200" w:after="480" w:line="240" w:lineRule="auto"/>
        <w:ind w:left="0" w:hanging="2"/>
        <w:contextualSpacing/>
      </w:pPr>
      <w:r w:rsidRPr="00C22D9E">
        <w:t>Definitions and Acronyms</w:t>
      </w:r>
    </w:p>
    <w:p w14:paraId="5FB1362D"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The following table:</w:t>
      </w:r>
    </w:p>
    <w:tbl>
      <w:tblPr>
        <w:tblStyle w:val="TableGrid"/>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9"/>
        <w:gridCol w:w="7448"/>
      </w:tblGrid>
      <w:tr w:rsidR="00C22D9E" w:rsidRPr="00C22D9E" w14:paraId="4FA04627" w14:textId="77777777" w:rsidTr="00B23887">
        <w:tc>
          <w:tcPr>
            <w:tcW w:w="0" w:type="auto"/>
            <w:hideMark/>
          </w:tcPr>
          <w:p w14:paraId="2C784F24" w14:textId="77777777" w:rsidR="00C22D9E" w:rsidRPr="00C22D9E" w:rsidRDefault="00C22D9E" w:rsidP="00A934B2">
            <w:pPr>
              <w:spacing w:before="0" w:afterLines="200" w:after="480" w:line="240" w:lineRule="auto"/>
              <w:ind w:left="0" w:hanging="2"/>
              <w:contextualSpacing/>
              <w:rPr>
                <w:sz w:val="22"/>
                <w:szCs w:val="22"/>
              </w:rPr>
            </w:pPr>
            <w:r w:rsidRPr="00C22D9E">
              <w:rPr>
                <w:sz w:val="22"/>
                <w:szCs w:val="22"/>
              </w:rPr>
              <w:lastRenderedPageBreak/>
              <w:t>Term/Acronym</w:t>
            </w:r>
          </w:p>
        </w:tc>
        <w:tc>
          <w:tcPr>
            <w:tcW w:w="0" w:type="auto"/>
            <w:hideMark/>
          </w:tcPr>
          <w:p w14:paraId="1E80D60C"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Definition</w:t>
            </w:r>
          </w:p>
        </w:tc>
      </w:tr>
      <w:tr w:rsidR="00C22D9E" w:rsidRPr="00C22D9E" w14:paraId="0216674A" w14:textId="77777777" w:rsidTr="00B23887">
        <w:tc>
          <w:tcPr>
            <w:tcW w:w="0" w:type="auto"/>
            <w:hideMark/>
          </w:tcPr>
          <w:p w14:paraId="52B01E0F"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w:t>
            </w:r>
          </w:p>
        </w:tc>
        <w:tc>
          <w:tcPr>
            <w:tcW w:w="0" w:type="auto"/>
            <w:hideMark/>
          </w:tcPr>
          <w:p w14:paraId="497E01C3" w14:textId="77777777" w:rsidR="00C22D9E" w:rsidRPr="00C22D9E" w:rsidRDefault="00C22D9E" w:rsidP="00A934B2">
            <w:pPr>
              <w:spacing w:afterLines="200" w:after="480" w:line="240" w:lineRule="auto"/>
              <w:ind w:left="0" w:hanging="2"/>
              <w:contextualSpacing/>
              <w:rPr>
                <w:sz w:val="22"/>
                <w:szCs w:val="22"/>
              </w:rPr>
            </w:pPr>
            <w:proofErr w:type="gramStart"/>
            <w:r w:rsidRPr="00C22D9E">
              <w:rPr>
                <w:sz w:val="22"/>
                <w:szCs w:val="22"/>
              </w:rPr>
              <w:t>Person</w:t>
            </w:r>
            <w:proofErr w:type="gramEnd"/>
            <w:r w:rsidRPr="00C22D9E">
              <w:rPr>
                <w:sz w:val="22"/>
                <w:szCs w:val="22"/>
              </w:rPr>
              <w:t xml:space="preserve"> or </w:t>
            </w:r>
            <w:proofErr w:type="gramStart"/>
            <w:r w:rsidRPr="00C22D9E">
              <w:rPr>
                <w:sz w:val="22"/>
                <w:szCs w:val="22"/>
              </w:rPr>
              <w:t>group of people</w:t>
            </w:r>
            <w:proofErr w:type="gramEnd"/>
            <w:r w:rsidRPr="00C22D9E">
              <w:rPr>
                <w:sz w:val="22"/>
                <w:szCs w:val="22"/>
              </w:rPr>
              <w:t xml:space="preserve"> who direct and control [Organization Name] at the highest level.</w:t>
            </w:r>
          </w:p>
        </w:tc>
      </w:tr>
      <w:tr w:rsidR="00C22D9E" w:rsidRPr="00C22D9E" w14:paraId="2AE45A4B" w14:textId="77777777" w:rsidTr="00B23887">
        <w:tc>
          <w:tcPr>
            <w:tcW w:w="0" w:type="auto"/>
            <w:hideMark/>
          </w:tcPr>
          <w:p w14:paraId="3085465E"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Accountable Manager</w:t>
            </w:r>
          </w:p>
        </w:tc>
        <w:tc>
          <w:tcPr>
            <w:tcW w:w="0" w:type="auto"/>
            <w:hideMark/>
          </w:tcPr>
          <w:p w14:paraId="03E95EBE"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The individual designated by Top Management with overall responsibility and authority for the Quality Management System.</w:t>
            </w:r>
          </w:p>
        </w:tc>
      </w:tr>
      <w:tr w:rsidR="00C22D9E" w:rsidRPr="00C22D9E" w14:paraId="63976D30" w14:textId="77777777" w:rsidTr="00B23887">
        <w:tc>
          <w:tcPr>
            <w:tcW w:w="0" w:type="auto"/>
            <w:hideMark/>
          </w:tcPr>
          <w:p w14:paraId="1568BCBA"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Quality Policy</w:t>
            </w:r>
          </w:p>
        </w:tc>
        <w:tc>
          <w:tcPr>
            <w:tcW w:w="0" w:type="auto"/>
            <w:hideMark/>
          </w:tcPr>
          <w:p w14:paraId="6E1CD80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 statement of the organization's overall intentions and direction related to quality, as formally expressed by Top Management.</w:t>
            </w:r>
          </w:p>
        </w:tc>
      </w:tr>
      <w:tr w:rsidR="00C22D9E" w:rsidRPr="00C22D9E" w14:paraId="3C1526CF" w14:textId="77777777" w:rsidTr="00B23887">
        <w:tc>
          <w:tcPr>
            <w:tcW w:w="0" w:type="auto"/>
            <w:hideMark/>
          </w:tcPr>
          <w:p w14:paraId="4344A793"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Customer Focus</w:t>
            </w:r>
          </w:p>
        </w:tc>
        <w:tc>
          <w:tcPr>
            <w:tcW w:w="0" w:type="auto"/>
            <w:hideMark/>
          </w:tcPr>
          <w:p w14:paraId="3BDD83C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Ensuring customer requirements are determined, understood, and consistently met, aiming to enhance customer satisfaction.</w:t>
            </w:r>
          </w:p>
        </w:tc>
      </w:tr>
      <w:tr w:rsidR="00C22D9E" w:rsidRPr="00C22D9E" w14:paraId="2D61AE9F" w14:textId="77777777" w:rsidTr="00B23887">
        <w:tc>
          <w:tcPr>
            <w:tcW w:w="0" w:type="auto"/>
            <w:hideMark/>
          </w:tcPr>
          <w:p w14:paraId="127EB1E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QMS</w:t>
            </w:r>
          </w:p>
        </w:tc>
        <w:tc>
          <w:tcPr>
            <w:tcW w:w="0" w:type="auto"/>
            <w:hideMark/>
          </w:tcPr>
          <w:p w14:paraId="217C01E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Quality Management System, a formalized system that documents processes, procedures, and responsibilities for achieving quality policies and objectives.</w:t>
            </w:r>
            <w:r w:rsidRPr="00C22D9E">
              <w:rPr>
                <w:sz w:val="22"/>
                <w:szCs w:val="22"/>
                <w:vertAlign w:val="superscript"/>
              </w:rPr>
              <w:t>1</w:t>
            </w:r>
          </w:p>
        </w:tc>
      </w:tr>
    </w:tbl>
    <w:p w14:paraId="1774C9FA" w14:textId="77777777" w:rsidR="00C22D9E" w:rsidRPr="00C22D9E" w:rsidRDefault="00C22D9E" w:rsidP="00A934B2">
      <w:pPr>
        <w:pStyle w:val="Heading1"/>
        <w:spacing w:afterLines="200" w:after="480" w:line="240" w:lineRule="auto"/>
        <w:ind w:left="0" w:hanging="2"/>
        <w:contextualSpacing/>
      </w:pPr>
      <w:r w:rsidRPr="00C22D9E">
        <w:t>Process</w:t>
      </w:r>
    </w:p>
    <w:p w14:paraId="767548D8" w14:textId="77777777" w:rsidR="00C22D9E" w:rsidRPr="00C22D9E" w:rsidRDefault="00C22D9E" w:rsidP="00A934B2">
      <w:pPr>
        <w:pStyle w:val="Heading2"/>
        <w:spacing w:afterLines="200" w:after="480" w:line="240" w:lineRule="auto"/>
        <w:ind w:left="0" w:hanging="2"/>
        <w:contextualSpacing/>
      </w:pPr>
      <w:r w:rsidRPr="00C22D9E">
        <w:t>Leadership and Commitment (ISO 9001:2015 Clause 5.1)</w:t>
      </w:r>
    </w:p>
    <w:p w14:paraId="0C787C2F"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 demonstrates leadership and commitment to the QMS by taking accountability for its effectiveness. This is evidenced through active participation in Management Reviews, with outputs captured in Management Review Meeting Minutes (Pending Creation - no direct document ID in MDL for MRM Minutes), allocating necessary resources as detailed in the Resource Capacity Plan (F-710-001), and ensuring quality objectives are achieved. Top Management ensures the Quality Policy is established and that measurable quality objectives are set during the QMS planning process, as detailed in P-600-01 Planning of the QMS.</w:t>
      </w:r>
    </w:p>
    <w:p w14:paraId="0540D85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 xml:space="preserve">Top Management ensures the integration of the QMS requirements into [Organization Name]'s business processes. This is achieved by linking QMS processes to overall business operations, as described in the Process Identification Worksheet (F-400-003). Top Management actively promotes the use of the </w:t>
      </w:r>
      <w:proofErr w:type="gramStart"/>
      <w:r w:rsidRPr="00C22D9E">
        <w:rPr>
          <w:sz w:val="22"/>
          <w:szCs w:val="22"/>
        </w:rPr>
        <w:t>process</w:t>
      </w:r>
      <w:proofErr w:type="gramEnd"/>
      <w:r w:rsidRPr="00C22D9E">
        <w:rPr>
          <w:sz w:val="22"/>
          <w:szCs w:val="22"/>
        </w:rPr>
        <w:t xml:space="preserve"> approach and risk-based thinking throughout the organization. This promotion is facilitated through internal communications and </w:t>
      </w:r>
      <w:proofErr w:type="gramStart"/>
      <w:r w:rsidRPr="00C22D9E">
        <w:rPr>
          <w:sz w:val="22"/>
          <w:szCs w:val="22"/>
        </w:rPr>
        <w:t>training, and</w:t>
      </w:r>
      <w:proofErr w:type="gramEnd"/>
      <w:r w:rsidRPr="00C22D9E">
        <w:rPr>
          <w:sz w:val="22"/>
          <w:szCs w:val="22"/>
        </w:rPr>
        <w:t xml:space="preserve"> further reinforced through the planning activities in P-600-01 Planning of the QMS. Additionally, Top Management ensures that the resources needed for the QMS are available, with planning conducted based on business needs and quality objectives and documented in forms such as the Resource Capacity Plan (F-710-001) and the Equipment &amp; Facilities Register (F-710-002).</w:t>
      </w:r>
    </w:p>
    <w:p w14:paraId="23B83D1A"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 xml:space="preserve">Communication of the importance of effective quality management and conformity to QMS requirements is also a key responsibility of Top Management. This is achieved through various channels, including company-wide meetings, internal communication platforms, and integration into employee onboarding programs. Top Management ensures that the QMS achieves its intended results by monitoring performance through Key Performance Indicators (KPIs) as recorded in the Process KPI Monitoring Log (F-800-002) and by addressing nonconformities through the Nonconformance Report (F-870-001). Top Management actively engages, directs, and supports </w:t>
      </w:r>
      <w:proofErr w:type="gramStart"/>
      <w:r w:rsidRPr="00C22D9E">
        <w:rPr>
          <w:sz w:val="22"/>
          <w:szCs w:val="22"/>
        </w:rPr>
        <w:t>persons</w:t>
      </w:r>
      <w:proofErr w:type="gramEnd"/>
      <w:r w:rsidRPr="00C22D9E">
        <w:rPr>
          <w:sz w:val="22"/>
          <w:szCs w:val="22"/>
        </w:rPr>
        <w:t xml:space="preserve"> to contribute to the effectiveness of the QMS by promoting a culture of quality, providing necessary training, and fostering employee involvement. Finally, Top Management promotes continual improvement by encouraging feedback, implementing corrective actions, and seeking opportunities for enhancement, while supporting other relevant management roles to demonstrate their leadership as it applies to their areas of responsibility, delegating </w:t>
      </w:r>
      <w:r w:rsidRPr="00C22D9E">
        <w:rPr>
          <w:sz w:val="22"/>
          <w:szCs w:val="22"/>
        </w:rPr>
        <w:lastRenderedPageBreak/>
        <w:t>authority and providing necessary support to department managers to uphold QMS requirements within their functions.</w:t>
      </w:r>
    </w:p>
    <w:p w14:paraId="6E0CCA76" w14:textId="77777777" w:rsidR="00C22D9E" w:rsidRPr="00C22D9E" w:rsidRDefault="00C22D9E" w:rsidP="00A934B2">
      <w:pPr>
        <w:pStyle w:val="Heading2"/>
        <w:ind w:left="0" w:hanging="2"/>
      </w:pPr>
      <w:r w:rsidRPr="00C22D9E">
        <w:t>Customer Focus (ISO 9001:2015 Clause 5.1.2)</w:t>
      </w:r>
    </w:p>
    <w:p w14:paraId="7BBFFDA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 demonstrates customer focus by ensuring that customer requirements are determined, understood, and consistently met. This involves the systematic capture of customer needs through tools such as the Customer Communication Log (F-820-001) and their subsequent translation into product and service specifications. Furthermore, statutory and regulatory requirements related to products and services are determined, understood, and consistently met. Legal and regulatory compliance is a key consideration in all processes and is regularly reviewed and updated.</w:t>
      </w:r>
    </w:p>
    <w:p w14:paraId="0F7332B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Risks and opportunities that can affect conformity of products and services and the ability to enhance customer satisfaction are</w:t>
      </w:r>
      <w:r w:rsidRPr="00C22D9E">
        <w:rPr>
          <w:sz w:val="22"/>
          <w:szCs w:val="22"/>
          <w:vertAlign w:val="superscript"/>
        </w:rPr>
        <w:t>2</w:t>
      </w:r>
      <w:r w:rsidRPr="00C22D9E">
        <w:rPr>
          <w:sz w:val="22"/>
          <w:szCs w:val="22"/>
        </w:rPr>
        <w:t xml:space="preserve"> systematically determined and addressed. This is an integral part of the planning process outlined in P-600-01 Planning of the QMS, utilizing the Risk and Opportunity Worksheet (F-610-001) and supported by the Risk Priority Matrix (A-610-001). The focus on enhancing customer satisfaction is maintained as a continuous effort, driven by the analysis of customer feedback, performance monitoring, and targeted improvement initiatives.</w:t>
      </w:r>
    </w:p>
    <w:p w14:paraId="516D1C66" w14:textId="4BDB668E" w:rsidR="00C22D9E" w:rsidRPr="00C22D9E" w:rsidRDefault="00C22D9E" w:rsidP="00A934B2">
      <w:pPr>
        <w:pStyle w:val="Heading2"/>
        <w:ind w:left="0" w:hanging="2"/>
      </w:pPr>
      <w:r w:rsidRPr="00C22D9E">
        <w:t xml:space="preserve">Policy </w:t>
      </w:r>
      <w:r w:rsidR="0063082F" w:rsidRPr="00B23887">
        <w:t>[</w:t>
      </w:r>
      <w:r w:rsidRPr="00C22D9E">
        <w:t>ISO 9001:2015 Clause 5.2</w:t>
      </w:r>
      <w:r w:rsidR="00B23887" w:rsidRPr="00B23887">
        <w:t>]</w:t>
      </w:r>
    </w:p>
    <w:p w14:paraId="61E75C4E" w14:textId="77777777" w:rsidR="00C22D9E" w:rsidRPr="00C22D9E" w:rsidRDefault="00C22D9E" w:rsidP="00A934B2">
      <w:pPr>
        <w:pStyle w:val="Heading2"/>
        <w:ind w:left="0" w:hanging="2"/>
      </w:pPr>
      <w:r w:rsidRPr="00C22D9E">
        <w:t>Establishing the Quality Policy</w:t>
      </w:r>
    </w:p>
    <w:p w14:paraId="03CD01B8"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 has established a Quality Policy that is appropriate to the purpose and context of [Organization Name] and supports its strategic direction. The Quality Policy reflects the core values and mission of the organization, aligning with external issues and interested party requirements identified in the Organizational Context Procedure (P-400-01). It provides a framework for setting and reviewing quality objectives, serving as a guiding principle for the establishment of measurable objectives, as detailed in P-600-01 Planning of the QMS. The policy includes a clear commitment to satisfy applicable requirements, covering customer, statutory, and regulatory requirements, along with internal organizational requirements. Importantly, it also includes a commitment to continual improvement of the QMS, driving the organization's pursuit of excellence and enhanced performance.</w:t>
      </w:r>
    </w:p>
    <w:p w14:paraId="6AC79A1A"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The Quality Policy is formally documented in the Quality Policy Document (QP-500-01 - Pending Creation) and its management is supported by the Work Instruction WI-500-002 Quality Policy Management.</w:t>
      </w:r>
    </w:p>
    <w:p w14:paraId="066FC25F" w14:textId="77777777" w:rsidR="00C22D9E" w:rsidRPr="00C22D9E" w:rsidRDefault="00C22D9E" w:rsidP="00A934B2">
      <w:pPr>
        <w:pStyle w:val="Heading2"/>
        <w:ind w:left="0" w:hanging="2"/>
      </w:pPr>
      <w:r w:rsidRPr="00C22D9E">
        <w:t>Communicating the Quality Policy</w:t>
      </w:r>
    </w:p>
    <w:p w14:paraId="088071C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 xml:space="preserve">The Quality Policy is communicated, understood, and applied throughout [Organization Name]. This is achieved by making it available as documented information, accessible to all employees via prominent display in common areas, electronic access on the company's internal network, and inclusion in relevant QMS documentation. Communication occurs within [Organization Name] through various channels, including new employee orientation, internal training sessions facilitated by the Competence, Training and Awareness Procedure (P-720-01), company-wide meetings, and regular reminders. This ensures all personnel are aware of the policy and its implications for their work. The Quality Policy is also available to relevant interested parties, as appropriate, demonstrating [Organization Name]'s commitment to quality. Managers regularly discuss the Quality Policy with their teams to ensure its principles are </w:t>
      </w:r>
      <w:r w:rsidRPr="00C22D9E">
        <w:rPr>
          <w:sz w:val="22"/>
          <w:szCs w:val="22"/>
        </w:rPr>
        <w:lastRenderedPageBreak/>
        <w:t>integrated into daily activities, and employee understanding is periodically assessed through internal audits or performance reviews.</w:t>
      </w:r>
    </w:p>
    <w:p w14:paraId="4299D322" w14:textId="1C91CD61" w:rsidR="00C22D9E" w:rsidRPr="00C22D9E" w:rsidRDefault="00C22D9E" w:rsidP="00A934B2">
      <w:pPr>
        <w:pStyle w:val="Heading2"/>
        <w:ind w:left="0" w:hanging="2"/>
      </w:pPr>
      <w:r w:rsidRPr="00C22D9E">
        <w:t xml:space="preserve">Organizational Roles, Responsibilities, and Authorities </w:t>
      </w:r>
      <w:r w:rsidR="000F28A8" w:rsidRPr="00B23887">
        <w:t>[</w:t>
      </w:r>
      <w:r w:rsidRPr="00C22D9E">
        <w:t>ISO 9001:2015 Clause 5.3</w:t>
      </w:r>
      <w:r w:rsidR="000F28A8" w:rsidRPr="00B23887">
        <w:t>]</w:t>
      </w:r>
    </w:p>
    <w:p w14:paraId="2245922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Top Management ensures that the responsibilities and authorities for relevant roles are assigned, communicated, and understood</w:t>
      </w:r>
      <w:r w:rsidRPr="00C22D9E">
        <w:rPr>
          <w:sz w:val="22"/>
          <w:szCs w:val="22"/>
          <w:vertAlign w:val="superscript"/>
        </w:rPr>
        <w:t>3</w:t>
      </w:r>
      <w:r w:rsidRPr="00C22D9E">
        <w:rPr>
          <w:sz w:val="22"/>
          <w:szCs w:val="22"/>
        </w:rPr>
        <w:t xml:space="preserve"> within [Organization Name]. This is achieved through formal documentation of roles and responsibilities, which includes detailed job descriptions and the Responsibility Matrix (A-500-002), which clearly defines accountability across the QMS. Communication </w:t>
      </w:r>
      <w:proofErr w:type="gramStart"/>
      <w:r w:rsidRPr="00C22D9E">
        <w:rPr>
          <w:sz w:val="22"/>
          <w:szCs w:val="22"/>
        </w:rPr>
        <w:t>of</w:t>
      </w:r>
      <w:proofErr w:type="gramEnd"/>
      <w:r w:rsidRPr="00C22D9E">
        <w:rPr>
          <w:sz w:val="22"/>
          <w:szCs w:val="22"/>
        </w:rPr>
        <w:t xml:space="preserve"> these responsibilities and authorities is vital: new employees are briefed on their roles and responsibilities during onboarding, and existing employees receive updates as roles or processes change, often supported by the Work Instruction WI-500-003 Assignment and Communication of Roles &amp; Responsibilities. Communication may occur through team meetings, formal announcements, and training programs.</w:t>
      </w:r>
    </w:p>
    <w:p w14:paraId="62048AA1"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Department Managers are responsible for ensuring personnel understand their assigned responsibilities and authorities, particularly as they relate to QMS conformity and customer satisfaction. This understanding is critical for the effective operation of the QMS. An organizational chart, which depicts the organizational structure and shows lines of authority and reporting relationships, is maintained as an Organizational Chart (Pending Creation - no direct document ID in MDL, but WI-500-001 Creating the Org Chart relates to its creation). Responsibility for conformity to the QMS requirements and for reporting on the QMS performance to Top Management is specifically assigned to the Accountable Manager, including reporting on opportunities for improvement and the need for changes.</w:t>
      </w:r>
    </w:p>
    <w:p w14:paraId="63471F9F" w14:textId="77777777" w:rsidR="00C22D9E" w:rsidRPr="00C22D9E" w:rsidRDefault="00C22D9E" w:rsidP="00A934B2">
      <w:pPr>
        <w:pStyle w:val="Heading1"/>
        <w:ind w:left="0" w:hanging="2"/>
      </w:pPr>
      <w:r w:rsidRPr="00C22D9E">
        <w:t>Compliance Framework and References</w:t>
      </w:r>
    </w:p>
    <w:p w14:paraId="3A950E7F"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This procedure ensures compliance with:</w:t>
      </w:r>
    </w:p>
    <w:p w14:paraId="035A0205"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ISO 9001:2015 Clause 5.1, 5.2, and 5.3.</w:t>
      </w:r>
    </w:p>
    <w:p w14:paraId="2F0C322A"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ISO 9001:2015 Clause 5.1, 5.2, and 5.3.</w:t>
      </w:r>
    </w:p>
    <w:p w14:paraId="01ED3F84"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[Organization Name]'s Quality Manual (QM-400-1).</w:t>
      </w:r>
    </w:p>
    <w:p w14:paraId="05AA5EA8"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Organizational Context Procedure P-400-01.</w:t>
      </w:r>
    </w:p>
    <w:p w14:paraId="73FE133F"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Planning of the QMS Procedure P-600-01.</w:t>
      </w:r>
    </w:p>
    <w:p w14:paraId="75353BE7"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Competence, Training, and Awareness Procedure (P-720-01).</w:t>
      </w:r>
    </w:p>
    <w:p w14:paraId="164810B8"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Control of Documented Information Procedure (P-750-01).</w:t>
      </w:r>
    </w:p>
    <w:p w14:paraId="65B629CD" w14:textId="77777777" w:rsidR="00C22D9E" w:rsidRPr="00C22D9E" w:rsidRDefault="00C22D9E" w:rsidP="00A934B2">
      <w:pPr>
        <w:numPr>
          <w:ilvl w:val="0"/>
          <w:numId w:val="7"/>
        </w:numPr>
        <w:spacing w:afterLines="200" w:after="480" w:line="240" w:lineRule="auto"/>
        <w:ind w:left="0" w:hanging="2"/>
        <w:contextualSpacing/>
        <w:rPr>
          <w:sz w:val="22"/>
          <w:szCs w:val="22"/>
        </w:rPr>
      </w:pPr>
      <w:r w:rsidRPr="00C22D9E">
        <w:rPr>
          <w:sz w:val="22"/>
          <w:szCs w:val="22"/>
        </w:rPr>
        <w:t>Procedure for Management Review (P-900-01) (Pending Creation - not found in Master Document List).</w:t>
      </w:r>
    </w:p>
    <w:p w14:paraId="186E77D7" w14:textId="77777777" w:rsidR="00C22D9E" w:rsidRPr="00C22D9E" w:rsidRDefault="00C22D9E" w:rsidP="00A934B2">
      <w:pPr>
        <w:pStyle w:val="Heading1"/>
        <w:ind w:left="0" w:hanging="2"/>
      </w:pPr>
      <w:r w:rsidRPr="00C22D9E">
        <w:lastRenderedPageBreak/>
        <w:t>Documented Information</w:t>
      </w:r>
    </w:p>
    <w:p w14:paraId="60F828D4"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[Organization Name] maintains documented information necessary to support the operation of this procedure, including:</w:t>
      </w:r>
    </w:p>
    <w:p w14:paraId="2B432FEC"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The following table:</w:t>
      </w:r>
    </w:p>
    <w:tbl>
      <w:tblPr>
        <w:tblStyle w:val="TableGrid"/>
        <w:tblW w:w="0" w:type="auto"/>
        <w:tblInd w:w="3" w:type="dxa"/>
        <w:tblLook w:val="04A0" w:firstRow="1" w:lastRow="0" w:firstColumn="1" w:lastColumn="0" w:noHBand="0" w:noVBand="1"/>
      </w:tblPr>
      <w:tblGrid>
        <w:gridCol w:w="1317"/>
        <w:gridCol w:w="2885"/>
        <w:gridCol w:w="5145"/>
      </w:tblGrid>
      <w:tr w:rsidR="00C22D9E" w:rsidRPr="00C22D9E" w14:paraId="69AEF023" w14:textId="77777777" w:rsidTr="00C22D9E">
        <w:tc>
          <w:tcPr>
            <w:tcW w:w="0" w:type="auto"/>
            <w:hideMark/>
          </w:tcPr>
          <w:p w14:paraId="4B924195"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Document ID</w:t>
            </w:r>
          </w:p>
        </w:tc>
        <w:tc>
          <w:tcPr>
            <w:tcW w:w="0" w:type="auto"/>
            <w:hideMark/>
          </w:tcPr>
          <w:p w14:paraId="44EACA98"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Document Title</w:t>
            </w:r>
          </w:p>
        </w:tc>
        <w:tc>
          <w:tcPr>
            <w:tcW w:w="0" w:type="auto"/>
            <w:hideMark/>
          </w:tcPr>
          <w:p w14:paraId="7E6AFE69"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Purpose</w:t>
            </w:r>
          </w:p>
        </w:tc>
      </w:tr>
      <w:tr w:rsidR="00C22D9E" w:rsidRPr="00C22D9E" w14:paraId="5720596F" w14:textId="77777777" w:rsidTr="00C22D9E">
        <w:tc>
          <w:tcPr>
            <w:tcW w:w="0" w:type="auto"/>
            <w:hideMark/>
          </w:tcPr>
          <w:p w14:paraId="773F616D"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(Pending Creation)</w:t>
            </w:r>
          </w:p>
        </w:tc>
        <w:tc>
          <w:tcPr>
            <w:tcW w:w="0" w:type="auto"/>
            <w:hideMark/>
          </w:tcPr>
          <w:p w14:paraId="55899652"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Quality Policy Document (QP-500-01)</w:t>
            </w:r>
          </w:p>
        </w:tc>
        <w:tc>
          <w:tcPr>
            <w:tcW w:w="0" w:type="auto"/>
            <w:hideMark/>
          </w:tcPr>
          <w:p w14:paraId="1A58AE38" w14:textId="77777777" w:rsidR="00C22D9E" w:rsidRPr="00C22D9E" w:rsidRDefault="00C22D9E" w:rsidP="00A934B2">
            <w:pPr>
              <w:keepNext/>
              <w:spacing w:afterLines="200" w:after="480" w:line="240" w:lineRule="auto"/>
              <w:ind w:left="0" w:hanging="2"/>
              <w:contextualSpacing/>
              <w:rPr>
                <w:sz w:val="22"/>
                <w:szCs w:val="22"/>
              </w:rPr>
            </w:pPr>
            <w:r w:rsidRPr="00C22D9E">
              <w:rPr>
                <w:sz w:val="22"/>
                <w:szCs w:val="22"/>
              </w:rPr>
              <w:t>Formal statement of [Organization Name]'s overall intentions and direction related to quality, as formally expressed by Top Management. Its management is supported by WI-500-002.</w:t>
            </w:r>
          </w:p>
        </w:tc>
      </w:tr>
      <w:tr w:rsidR="00C22D9E" w:rsidRPr="00C22D9E" w14:paraId="17A5BB57" w14:textId="77777777" w:rsidTr="00C22D9E">
        <w:tc>
          <w:tcPr>
            <w:tcW w:w="0" w:type="auto"/>
            <w:hideMark/>
          </w:tcPr>
          <w:p w14:paraId="0F13CEEB"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(Pending Creation)</w:t>
            </w:r>
          </w:p>
        </w:tc>
        <w:tc>
          <w:tcPr>
            <w:tcW w:w="0" w:type="auto"/>
            <w:hideMark/>
          </w:tcPr>
          <w:p w14:paraId="05F5CDD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Organizational Chart</w:t>
            </w:r>
          </w:p>
        </w:tc>
        <w:tc>
          <w:tcPr>
            <w:tcW w:w="0" w:type="auto"/>
            <w:hideMark/>
          </w:tcPr>
          <w:p w14:paraId="41E56021"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Depicts the structure of [Organization Name] and lines of authority. Its creation is guided by WI-500-001.</w:t>
            </w:r>
          </w:p>
        </w:tc>
      </w:tr>
      <w:tr w:rsidR="00C22D9E" w:rsidRPr="00C22D9E" w14:paraId="37460829" w14:textId="77777777" w:rsidTr="00C22D9E">
        <w:tc>
          <w:tcPr>
            <w:tcW w:w="0" w:type="auto"/>
            <w:hideMark/>
          </w:tcPr>
          <w:p w14:paraId="4C10BAEB"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A-500-002</w:t>
            </w:r>
          </w:p>
        </w:tc>
        <w:tc>
          <w:tcPr>
            <w:tcW w:w="0" w:type="auto"/>
            <w:hideMark/>
          </w:tcPr>
          <w:p w14:paraId="38DF99B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Responsibility Matrix (RAM)</w:t>
            </w:r>
          </w:p>
        </w:tc>
        <w:tc>
          <w:tcPr>
            <w:tcW w:w="0" w:type="auto"/>
            <w:hideMark/>
          </w:tcPr>
          <w:p w14:paraId="751810B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Clearly defines responsibilities and authorities for various QMS processes and activities.</w:t>
            </w:r>
          </w:p>
        </w:tc>
      </w:tr>
      <w:tr w:rsidR="00C22D9E" w:rsidRPr="00C22D9E" w14:paraId="38A1254F" w14:textId="77777777" w:rsidTr="00C22D9E">
        <w:tc>
          <w:tcPr>
            <w:tcW w:w="0" w:type="auto"/>
            <w:hideMark/>
          </w:tcPr>
          <w:p w14:paraId="14B3D20E"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F-400-003</w:t>
            </w:r>
          </w:p>
        </w:tc>
        <w:tc>
          <w:tcPr>
            <w:tcW w:w="0" w:type="auto"/>
            <w:hideMark/>
          </w:tcPr>
          <w:p w14:paraId="518E2FA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Process Identification Worksheet</w:t>
            </w:r>
          </w:p>
        </w:tc>
        <w:tc>
          <w:tcPr>
            <w:tcW w:w="0" w:type="auto"/>
            <w:hideMark/>
          </w:tcPr>
          <w:p w14:paraId="56C758A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Defines each QMS process, its inputs, outputs, resources, and success criteria, supporting the integration of QMS requirements into business processes.</w:t>
            </w:r>
          </w:p>
        </w:tc>
      </w:tr>
      <w:tr w:rsidR="00C22D9E" w:rsidRPr="00C22D9E" w14:paraId="1DFFB00E" w14:textId="77777777" w:rsidTr="00C22D9E">
        <w:tc>
          <w:tcPr>
            <w:tcW w:w="0" w:type="auto"/>
            <w:hideMark/>
          </w:tcPr>
          <w:p w14:paraId="19212058"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F-610-001</w:t>
            </w:r>
          </w:p>
        </w:tc>
        <w:tc>
          <w:tcPr>
            <w:tcW w:w="0" w:type="auto"/>
            <w:hideMark/>
          </w:tcPr>
          <w:p w14:paraId="26E27EE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Risk and Opportunity Worksheet</w:t>
            </w:r>
          </w:p>
        </w:tc>
        <w:tc>
          <w:tcPr>
            <w:tcW w:w="0" w:type="auto"/>
            <w:hideMark/>
          </w:tcPr>
          <w:p w14:paraId="5A2A25F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Documents identified risks and opportunities relevant to customer focus and overall QMS effectiveness.</w:t>
            </w:r>
          </w:p>
        </w:tc>
      </w:tr>
      <w:tr w:rsidR="00C22D9E" w:rsidRPr="00C22D9E" w14:paraId="510C74B2" w14:textId="77777777" w:rsidTr="00C22D9E">
        <w:tc>
          <w:tcPr>
            <w:tcW w:w="0" w:type="auto"/>
            <w:hideMark/>
          </w:tcPr>
          <w:p w14:paraId="7511C074"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F-710-001</w:t>
            </w:r>
          </w:p>
        </w:tc>
        <w:tc>
          <w:tcPr>
            <w:tcW w:w="0" w:type="auto"/>
            <w:hideMark/>
          </w:tcPr>
          <w:p w14:paraId="45112B4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Resource Capacity Plan</w:t>
            </w:r>
          </w:p>
        </w:tc>
        <w:tc>
          <w:tcPr>
            <w:tcW w:w="0" w:type="auto"/>
            <w:hideMark/>
          </w:tcPr>
          <w:p w14:paraId="3EB56C67" w14:textId="77777777" w:rsidR="00C22D9E" w:rsidRPr="00C22D9E" w:rsidRDefault="00C22D9E" w:rsidP="00A934B2">
            <w:pPr>
              <w:spacing w:afterLines="200" w:after="480" w:line="240" w:lineRule="auto"/>
              <w:ind w:left="0" w:hanging="2"/>
              <w:contextualSpacing/>
              <w:rPr>
                <w:sz w:val="22"/>
                <w:szCs w:val="22"/>
              </w:rPr>
            </w:pPr>
            <w:proofErr w:type="gramStart"/>
            <w:r w:rsidRPr="00C22D9E">
              <w:rPr>
                <w:sz w:val="22"/>
                <w:szCs w:val="22"/>
              </w:rPr>
              <w:t>Documents</w:t>
            </w:r>
            <w:proofErr w:type="gramEnd"/>
            <w:r w:rsidRPr="00C22D9E">
              <w:rPr>
                <w:sz w:val="22"/>
                <w:szCs w:val="22"/>
              </w:rPr>
              <w:t xml:space="preserve"> the planning of resources needed for the QMS.</w:t>
            </w:r>
          </w:p>
        </w:tc>
      </w:tr>
      <w:tr w:rsidR="00C22D9E" w:rsidRPr="00C22D9E" w14:paraId="1590BB09" w14:textId="77777777" w:rsidTr="00C22D9E">
        <w:tc>
          <w:tcPr>
            <w:tcW w:w="0" w:type="auto"/>
            <w:hideMark/>
          </w:tcPr>
          <w:p w14:paraId="65E5C33A"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F-710-002</w:t>
            </w:r>
          </w:p>
        </w:tc>
        <w:tc>
          <w:tcPr>
            <w:tcW w:w="0" w:type="auto"/>
            <w:hideMark/>
          </w:tcPr>
          <w:p w14:paraId="3A7F7DDC"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Equipment &amp; Facilities Register</w:t>
            </w:r>
          </w:p>
        </w:tc>
        <w:tc>
          <w:tcPr>
            <w:tcW w:w="0" w:type="auto"/>
            <w:hideMark/>
          </w:tcPr>
          <w:p w14:paraId="480C2914"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Records infrastructure and equipment, supporting resource availability.</w:t>
            </w:r>
          </w:p>
        </w:tc>
      </w:tr>
      <w:tr w:rsidR="00C22D9E" w:rsidRPr="00C22D9E" w14:paraId="4119E19D" w14:textId="77777777" w:rsidTr="00C22D9E">
        <w:tc>
          <w:tcPr>
            <w:tcW w:w="0" w:type="auto"/>
            <w:hideMark/>
          </w:tcPr>
          <w:p w14:paraId="6C6408C8"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F-800-002</w:t>
            </w:r>
          </w:p>
        </w:tc>
        <w:tc>
          <w:tcPr>
            <w:tcW w:w="0" w:type="auto"/>
            <w:hideMark/>
          </w:tcPr>
          <w:p w14:paraId="54B1C98E"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Process KPI Monitoring Log</w:t>
            </w:r>
          </w:p>
        </w:tc>
        <w:tc>
          <w:tcPr>
            <w:tcW w:w="0" w:type="auto"/>
            <w:hideMark/>
          </w:tcPr>
          <w:p w14:paraId="438E31D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Tracks key performance indicators related to QMS effectiveness and customer satisfaction.</w:t>
            </w:r>
          </w:p>
        </w:tc>
      </w:tr>
      <w:tr w:rsidR="00C22D9E" w:rsidRPr="00C22D9E" w14:paraId="13FB4DC6" w14:textId="77777777" w:rsidTr="00C22D9E">
        <w:tc>
          <w:tcPr>
            <w:tcW w:w="0" w:type="auto"/>
            <w:hideMark/>
          </w:tcPr>
          <w:p w14:paraId="18F110D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F-820-001</w:t>
            </w:r>
          </w:p>
        </w:tc>
        <w:tc>
          <w:tcPr>
            <w:tcW w:w="0" w:type="auto"/>
            <w:hideMark/>
          </w:tcPr>
          <w:p w14:paraId="731FC28C"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Customer Communication Log</w:t>
            </w:r>
          </w:p>
        </w:tc>
        <w:tc>
          <w:tcPr>
            <w:tcW w:w="0" w:type="auto"/>
            <w:hideMark/>
          </w:tcPr>
          <w:p w14:paraId="247768C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Records customer requirements and feedback, essential for demonstrating customer focus.</w:t>
            </w:r>
          </w:p>
        </w:tc>
      </w:tr>
      <w:tr w:rsidR="00C22D9E" w:rsidRPr="00C22D9E" w14:paraId="1FE90F88" w14:textId="77777777" w:rsidTr="00C22D9E">
        <w:tc>
          <w:tcPr>
            <w:tcW w:w="0" w:type="auto"/>
            <w:hideMark/>
          </w:tcPr>
          <w:p w14:paraId="2AE3503D"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F-870-001</w:t>
            </w:r>
          </w:p>
        </w:tc>
        <w:tc>
          <w:tcPr>
            <w:tcW w:w="0" w:type="auto"/>
            <w:hideMark/>
          </w:tcPr>
          <w:p w14:paraId="6D8A0D8C"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Nonconformance Report</w:t>
            </w:r>
          </w:p>
        </w:tc>
        <w:tc>
          <w:tcPr>
            <w:tcW w:w="0" w:type="auto"/>
            <w:hideMark/>
          </w:tcPr>
          <w:p w14:paraId="6436A87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Documents nonconformities, which can highlight areas where QMS effectiveness or customer focus needs improvement.</w:t>
            </w:r>
          </w:p>
        </w:tc>
      </w:tr>
      <w:tr w:rsidR="00C22D9E" w:rsidRPr="00C22D9E" w14:paraId="6D31E551" w14:textId="77777777" w:rsidTr="00C22D9E">
        <w:tc>
          <w:tcPr>
            <w:tcW w:w="0" w:type="auto"/>
            <w:hideMark/>
          </w:tcPr>
          <w:p w14:paraId="4B05A06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(Pending Creation)</w:t>
            </w:r>
          </w:p>
        </w:tc>
        <w:tc>
          <w:tcPr>
            <w:tcW w:w="0" w:type="auto"/>
            <w:hideMark/>
          </w:tcPr>
          <w:p w14:paraId="31E6B07C"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Management Review Meeting Minutes</w:t>
            </w:r>
          </w:p>
        </w:tc>
        <w:tc>
          <w:tcPr>
            <w:tcW w:w="0" w:type="auto"/>
            <w:hideMark/>
          </w:tcPr>
          <w:p w14:paraId="7A0D599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Records decisions and actions from management reviews, demonstrating Top Management's commitment and accountability.</w:t>
            </w:r>
          </w:p>
        </w:tc>
      </w:tr>
      <w:tr w:rsidR="00C22D9E" w:rsidRPr="00C22D9E" w14:paraId="2BEBACE5" w14:textId="77777777" w:rsidTr="00C22D9E">
        <w:tc>
          <w:tcPr>
            <w:tcW w:w="0" w:type="auto"/>
            <w:hideMark/>
          </w:tcPr>
          <w:p w14:paraId="2E3745F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(Pending Creation)</w:t>
            </w:r>
          </w:p>
        </w:tc>
        <w:tc>
          <w:tcPr>
            <w:tcW w:w="0" w:type="auto"/>
            <w:hideMark/>
          </w:tcPr>
          <w:p w14:paraId="19830F9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Records of communication and assignment of responsibilities and authorities</w:t>
            </w:r>
          </w:p>
        </w:tc>
        <w:tc>
          <w:tcPr>
            <w:tcW w:w="0" w:type="auto"/>
            <w:hideMark/>
          </w:tcPr>
          <w:p w14:paraId="53F9A995"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Evidence of how roles, responsibilities, and authorities are conveyed and understood within the organization. This could be meeting minutes, training records, or signed acknowledgements.</w:t>
            </w:r>
          </w:p>
        </w:tc>
      </w:tr>
    </w:tbl>
    <w:p w14:paraId="0B549906" w14:textId="77777777" w:rsidR="00C22D9E" w:rsidRPr="00C22D9E" w:rsidRDefault="00C22D9E" w:rsidP="00A934B2">
      <w:pPr>
        <w:pStyle w:val="Heading1"/>
        <w:ind w:left="0" w:hanging="2"/>
      </w:pPr>
      <w:r w:rsidRPr="00C22D9E">
        <w:t>Revision History</w:t>
      </w:r>
    </w:p>
    <w:p w14:paraId="477F27C3"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The following table:</w:t>
      </w:r>
    </w:p>
    <w:tbl>
      <w:tblPr>
        <w:tblStyle w:val="TableGrid"/>
        <w:tblW w:w="5000" w:type="pct"/>
        <w:tblInd w:w="3" w:type="dxa"/>
        <w:tblLook w:val="04A0" w:firstRow="1" w:lastRow="0" w:firstColumn="1" w:lastColumn="0" w:noHBand="0" w:noVBand="1"/>
      </w:tblPr>
      <w:tblGrid>
        <w:gridCol w:w="998"/>
        <w:gridCol w:w="1072"/>
        <w:gridCol w:w="1367"/>
        <w:gridCol w:w="3813"/>
        <w:gridCol w:w="2100"/>
      </w:tblGrid>
      <w:tr w:rsidR="00C22D9E" w:rsidRPr="00C22D9E" w14:paraId="624658A5" w14:textId="77777777" w:rsidTr="00C22D9E">
        <w:tc>
          <w:tcPr>
            <w:tcW w:w="522" w:type="pct"/>
            <w:hideMark/>
          </w:tcPr>
          <w:p w14:paraId="7425409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Rev</w:t>
            </w:r>
          </w:p>
        </w:tc>
        <w:tc>
          <w:tcPr>
            <w:tcW w:w="561" w:type="pct"/>
            <w:hideMark/>
          </w:tcPr>
          <w:p w14:paraId="542C28D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Date</w:t>
            </w:r>
          </w:p>
        </w:tc>
        <w:tc>
          <w:tcPr>
            <w:tcW w:w="716" w:type="pct"/>
            <w:hideMark/>
          </w:tcPr>
          <w:p w14:paraId="3D27924D"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Section</w:t>
            </w:r>
          </w:p>
        </w:tc>
        <w:tc>
          <w:tcPr>
            <w:tcW w:w="1997" w:type="pct"/>
            <w:hideMark/>
          </w:tcPr>
          <w:p w14:paraId="322477C7"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Summary of change</w:t>
            </w:r>
          </w:p>
        </w:tc>
        <w:tc>
          <w:tcPr>
            <w:tcW w:w="1100" w:type="pct"/>
            <w:hideMark/>
          </w:tcPr>
          <w:p w14:paraId="3C13E50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Authorized by</w:t>
            </w:r>
          </w:p>
        </w:tc>
      </w:tr>
      <w:tr w:rsidR="00C22D9E" w:rsidRPr="00C22D9E" w14:paraId="392EB759" w14:textId="77777777" w:rsidTr="00C22D9E">
        <w:tc>
          <w:tcPr>
            <w:tcW w:w="522" w:type="pct"/>
            <w:hideMark/>
          </w:tcPr>
          <w:p w14:paraId="3FC38BA2"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w:t>
            </w:r>
          </w:p>
        </w:tc>
        <w:tc>
          <w:tcPr>
            <w:tcW w:w="561" w:type="pct"/>
            <w:hideMark/>
          </w:tcPr>
          <w:p w14:paraId="4BD08996"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w:t>
            </w:r>
          </w:p>
        </w:tc>
        <w:tc>
          <w:tcPr>
            <w:tcW w:w="716" w:type="pct"/>
            <w:hideMark/>
          </w:tcPr>
          <w:p w14:paraId="1A3B2120"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w:t>
            </w:r>
          </w:p>
        </w:tc>
        <w:tc>
          <w:tcPr>
            <w:tcW w:w="1997" w:type="pct"/>
            <w:hideMark/>
          </w:tcPr>
          <w:p w14:paraId="69729619"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Draft Issue – Updates pending</w:t>
            </w:r>
          </w:p>
        </w:tc>
        <w:tc>
          <w:tcPr>
            <w:tcW w:w="1100" w:type="pct"/>
            <w:hideMark/>
          </w:tcPr>
          <w:p w14:paraId="6BF5363D" w14:textId="77777777" w:rsidR="00C22D9E" w:rsidRPr="00C22D9E" w:rsidRDefault="00C22D9E" w:rsidP="00A934B2">
            <w:pPr>
              <w:spacing w:afterLines="200" w:after="480" w:line="240" w:lineRule="auto"/>
              <w:ind w:left="0" w:hanging="2"/>
              <w:contextualSpacing/>
              <w:rPr>
                <w:sz w:val="22"/>
                <w:szCs w:val="22"/>
              </w:rPr>
            </w:pPr>
            <w:r w:rsidRPr="00C22D9E">
              <w:rPr>
                <w:sz w:val="22"/>
                <w:szCs w:val="22"/>
              </w:rPr>
              <w:t>OQC</w:t>
            </w:r>
          </w:p>
        </w:tc>
      </w:tr>
      <w:tr w:rsidR="00284E41" w:rsidRPr="00C22D9E" w14:paraId="2BD2FD49" w14:textId="77777777" w:rsidTr="00C22D9E">
        <w:tc>
          <w:tcPr>
            <w:tcW w:w="522" w:type="pct"/>
          </w:tcPr>
          <w:p w14:paraId="0204796F" w14:textId="77777777" w:rsidR="00284E41" w:rsidRPr="00C22D9E" w:rsidRDefault="00284E41" w:rsidP="00A934B2">
            <w:pPr>
              <w:spacing w:afterLines="200" w:after="480" w:line="240" w:lineRule="auto"/>
              <w:ind w:left="0" w:hanging="2"/>
              <w:contextualSpacing/>
              <w:rPr>
                <w:sz w:val="22"/>
                <w:szCs w:val="22"/>
              </w:rPr>
            </w:pPr>
          </w:p>
        </w:tc>
        <w:tc>
          <w:tcPr>
            <w:tcW w:w="561" w:type="pct"/>
          </w:tcPr>
          <w:p w14:paraId="00B33872" w14:textId="77777777" w:rsidR="00284E41" w:rsidRPr="00C22D9E" w:rsidRDefault="00284E41" w:rsidP="00A934B2">
            <w:pPr>
              <w:spacing w:afterLines="200" w:after="480" w:line="240" w:lineRule="auto"/>
              <w:ind w:left="0" w:hanging="2"/>
              <w:contextualSpacing/>
              <w:rPr>
                <w:sz w:val="22"/>
                <w:szCs w:val="22"/>
              </w:rPr>
            </w:pPr>
          </w:p>
        </w:tc>
        <w:tc>
          <w:tcPr>
            <w:tcW w:w="716" w:type="pct"/>
          </w:tcPr>
          <w:p w14:paraId="76892BD4" w14:textId="77777777" w:rsidR="00284E41" w:rsidRPr="00C22D9E" w:rsidRDefault="00284E41" w:rsidP="00A934B2">
            <w:pPr>
              <w:spacing w:afterLines="200" w:after="480" w:line="240" w:lineRule="auto"/>
              <w:ind w:left="0" w:hanging="2"/>
              <w:contextualSpacing/>
              <w:rPr>
                <w:sz w:val="22"/>
                <w:szCs w:val="22"/>
              </w:rPr>
            </w:pPr>
          </w:p>
        </w:tc>
        <w:tc>
          <w:tcPr>
            <w:tcW w:w="1997" w:type="pct"/>
          </w:tcPr>
          <w:p w14:paraId="0763609F" w14:textId="77777777" w:rsidR="00284E41" w:rsidRPr="00C22D9E" w:rsidRDefault="00284E41" w:rsidP="00A934B2">
            <w:pPr>
              <w:spacing w:afterLines="200" w:after="480" w:line="240" w:lineRule="auto"/>
              <w:ind w:left="0" w:hanging="2"/>
              <w:contextualSpacing/>
              <w:rPr>
                <w:sz w:val="22"/>
                <w:szCs w:val="22"/>
              </w:rPr>
            </w:pPr>
          </w:p>
        </w:tc>
        <w:tc>
          <w:tcPr>
            <w:tcW w:w="1100" w:type="pct"/>
          </w:tcPr>
          <w:p w14:paraId="0A7E56C2" w14:textId="77777777" w:rsidR="00284E41" w:rsidRPr="00C22D9E" w:rsidRDefault="00284E41" w:rsidP="00A934B2">
            <w:pPr>
              <w:spacing w:afterLines="200" w:after="480" w:line="240" w:lineRule="auto"/>
              <w:ind w:left="0" w:hanging="2"/>
              <w:contextualSpacing/>
              <w:rPr>
                <w:sz w:val="22"/>
                <w:szCs w:val="22"/>
              </w:rPr>
            </w:pPr>
          </w:p>
        </w:tc>
      </w:tr>
    </w:tbl>
    <w:p w14:paraId="0F0B3EE6" w14:textId="77777777" w:rsidR="00261AC6" w:rsidRPr="00B23887" w:rsidRDefault="00261AC6" w:rsidP="00A934B2">
      <w:pPr>
        <w:spacing w:afterLines="200" w:after="480" w:line="240" w:lineRule="auto"/>
        <w:ind w:left="0" w:hanging="2"/>
        <w:contextualSpacing/>
        <w:rPr>
          <w:sz w:val="22"/>
          <w:szCs w:val="22"/>
        </w:rPr>
      </w:pPr>
    </w:p>
    <w:sectPr w:rsidR="00261AC6" w:rsidRPr="00B2388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C3CB5" w14:textId="77777777" w:rsidR="00881365" w:rsidRDefault="00881365" w:rsidP="00261AC6">
      <w:pPr>
        <w:spacing w:line="240" w:lineRule="auto"/>
        <w:ind w:left="0" w:hanging="2"/>
      </w:pPr>
      <w:r>
        <w:separator/>
      </w:r>
    </w:p>
  </w:endnote>
  <w:endnote w:type="continuationSeparator" w:id="0">
    <w:p w14:paraId="58DC5134" w14:textId="77777777" w:rsidR="00881365" w:rsidRDefault="00881365" w:rsidP="00261AC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CEB03" w14:textId="77777777" w:rsidR="00881365" w:rsidRDefault="00881365" w:rsidP="00261AC6">
      <w:pPr>
        <w:spacing w:line="240" w:lineRule="auto"/>
        <w:ind w:left="0" w:hanging="2"/>
      </w:pPr>
      <w:r>
        <w:separator/>
      </w:r>
    </w:p>
  </w:footnote>
  <w:footnote w:type="continuationSeparator" w:id="0">
    <w:p w14:paraId="29DB21DC" w14:textId="77777777" w:rsidR="00881365" w:rsidRDefault="00881365" w:rsidP="00261AC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6"/>
      <w:gridCol w:w="1866"/>
      <w:gridCol w:w="1396"/>
      <w:gridCol w:w="657"/>
      <w:gridCol w:w="455"/>
    </w:tblGrid>
    <w:tr w:rsidR="00261AC6" w14:paraId="124F3FD5" w14:textId="77777777" w:rsidTr="00F27EF6">
      <w:tc>
        <w:tcPr>
          <w:tcW w:w="2668" w:type="pct"/>
        </w:tcPr>
        <w:p w14:paraId="02BACB18" w14:textId="77777777" w:rsidR="00261AC6" w:rsidRDefault="00261AC6" w:rsidP="00261AC6">
          <w:pPr>
            <w:ind w:left="0" w:hanging="2"/>
            <w:jc w:val="center"/>
            <w:rPr>
              <w:rFonts w:eastAsia="Arial"/>
            </w:rPr>
          </w:pPr>
        </w:p>
        <w:p w14:paraId="530E09EB" w14:textId="77777777" w:rsidR="00261AC6" w:rsidRDefault="00261AC6" w:rsidP="00261AC6">
          <w:pPr>
            <w:ind w:left="0" w:hanging="2"/>
            <w:jc w:val="center"/>
            <w:rPr>
              <w:rFonts w:eastAsia="Arial"/>
            </w:rPr>
          </w:pPr>
        </w:p>
        <w:p w14:paraId="5C9F7109" w14:textId="77777777" w:rsidR="00261AC6" w:rsidRDefault="00261AC6" w:rsidP="00261AC6">
          <w:pPr>
            <w:ind w:left="0" w:hanging="2"/>
            <w:jc w:val="center"/>
            <w:rPr>
              <w:rFonts w:eastAsia="Arial"/>
            </w:rPr>
          </w:pPr>
        </w:p>
        <w:p w14:paraId="6BC04FFE" w14:textId="77777777" w:rsidR="00261AC6" w:rsidRPr="007158A6" w:rsidRDefault="00261AC6" w:rsidP="00261AC6">
          <w:pPr>
            <w:ind w:left="0" w:hanging="2"/>
            <w:jc w:val="center"/>
            <w:rPr>
              <w:rFonts w:eastAsia="Arial"/>
            </w:rPr>
          </w:pPr>
          <w:r>
            <w:rPr>
              <w:rFonts w:eastAsia="Arial"/>
            </w:rPr>
            <w:t xml:space="preserve">Insert Logo </w:t>
          </w:r>
        </w:p>
      </w:tc>
      <w:tc>
        <w:tcPr>
          <w:tcW w:w="2332" w:type="pct"/>
          <w:gridSpan w:val="4"/>
        </w:tcPr>
        <w:p w14:paraId="4BC9A86D" w14:textId="77777777" w:rsidR="00261AC6" w:rsidRPr="007158A6" w:rsidRDefault="00261AC6" w:rsidP="00261AC6">
          <w:pPr>
            <w:ind w:left="2" w:hanging="4"/>
            <w:jc w:val="center"/>
            <w:rPr>
              <w:rFonts w:eastAsia="Arial"/>
            </w:rPr>
          </w:pPr>
          <w:r>
            <w:rPr>
              <w:rFonts w:eastAsia="Arial"/>
              <w:b/>
              <w:sz w:val="40"/>
              <w:szCs w:val="40"/>
            </w:rPr>
            <w:t>Leadership</w:t>
          </w:r>
        </w:p>
      </w:tc>
    </w:tr>
    <w:tr w:rsidR="00261AC6" w14:paraId="38E1636E" w14:textId="77777777" w:rsidTr="00F27EF6">
      <w:tc>
        <w:tcPr>
          <w:tcW w:w="2668" w:type="pct"/>
        </w:tcPr>
        <w:p w14:paraId="055086E1" w14:textId="77777777" w:rsidR="00261AC6" w:rsidRDefault="00261AC6" w:rsidP="00261AC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7D531790" w14:textId="77777777" w:rsidR="00261AC6" w:rsidRDefault="00261AC6" w:rsidP="00261AC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77BBE77F" w14:textId="77777777" w:rsidR="00261AC6" w:rsidRDefault="00261AC6" w:rsidP="00261AC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P-500-01 </w:t>
          </w:r>
        </w:p>
      </w:tc>
      <w:tc>
        <w:tcPr>
          <w:tcW w:w="334" w:type="pct"/>
        </w:tcPr>
        <w:p w14:paraId="7EACDA76" w14:textId="77777777" w:rsidR="00261AC6" w:rsidRDefault="00261AC6" w:rsidP="00261AC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7" w:type="pct"/>
        </w:tcPr>
        <w:p w14:paraId="4845CD4A" w14:textId="77777777" w:rsidR="00261AC6" w:rsidRDefault="00261AC6" w:rsidP="00261AC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99AF784" w14:textId="77777777" w:rsidR="00261AC6" w:rsidRDefault="00261AC6">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7627"/>
    <w:multiLevelType w:val="hybridMultilevel"/>
    <w:tmpl w:val="FF46EF9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950F15"/>
    <w:multiLevelType w:val="hybridMultilevel"/>
    <w:tmpl w:val="AE20B5DA"/>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5"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60621E"/>
    <w:multiLevelType w:val="multilevel"/>
    <w:tmpl w:val="AE6A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21155">
    <w:abstractNumId w:val="1"/>
  </w:num>
  <w:num w:numId="2" w16cid:durableId="2038892967">
    <w:abstractNumId w:val="3"/>
  </w:num>
  <w:num w:numId="3" w16cid:durableId="1409770325">
    <w:abstractNumId w:val="5"/>
  </w:num>
  <w:num w:numId="4" w16cid:durableId="1851985197">
    <w:abstractNumId w:val="0"/>
  </w:num>
  <w:num w:numId="5" w16cid:durableId="1759399977">
    <w:abstractNumId w:val="2"/>
  </w:num>
  <w:num w:numId="6" w16cid:durableId="1225994976">
    <w:abstractNumId w:val="4"/>
  </w:num>
  <w:num w:numId="7" w16cid:durableId="188682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AC6"/>
    <w:rsid w:val="000F28A8"/>
    <w:rsid w:val="001457BE"/>
    <w:rsid w:val="00220B43"/>
    <w:rsid w:val="00261AC6"/>
    <w:rsid w:val="00284E41"/>
    <w:rsid w:val="003A596B"/>
    <w:rsid w:val="00474CE9"/>
    <w:rsid w:val="0063082F"/>
    <w:rsid w:val="007767AA"/>
    <w:rsid w:val="00881365"/>
    <w:rsid w:val="00A934B2"/>
    <w:rsid w:val="00AF2A60"/>
    <w:rsid w:val="00B23887"/>
    <w:rsid w:val="00C22D9E"/>
    <w:rsid w:val="00F407EB"/>
    <w:rsid w:val="00FA7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371DF"/>
  <w15:chartTrackingRefBased/>
  <w15:docId w15:val="{B86814E3-A011-415B-BC16-5763251FE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1AC6"/>
    <w:pPr>
      <w:suppressAutoHyphens/>
      <w:spacing w:after="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style>
  <w:style w:type="paragraph" w:styleId="Heading1">
    <w:name w:val="heading 1"/>
    <w:basedOn w:val="Normal"/>
    <w:next w:val="Normal"/>
    <w:link w:val="Heading1Char"/>
    <w:uiPriority w:val="9"/>
    <w:qFormat/>
    <w:rsid w:val="007767AA"/>
    <w:pPr>
      <w:keepNext/>
      <w:keepLines/>
      <w:spacing w:before="360" w:after="80"/>
    </w:pPr>
    <w:rPr>
      <w:rFonts w:eastAsiaTheme="majorEastAsia" w:cstheme="majorBidi"/>
      <w:b/>
      <w:szCs w:val="40"/>
    </w:rPr>
  </w:style>
  <w:style w:type="paragraph" w:styleId="Heading2">
    <w:name w:val="heading 2"/>
    <w:basedOn w:val="Normal"/>
    <w:next w:val="Normal"/>
    <w:link w:val="Heading2Char"/>
    <w:uiPriority w:val="9"/>
    <w:unhideWhenUsed/>
    <w:qFormat/>
    <w:rsid w:val="00F407EB"/>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261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AC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AC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AC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AC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AA"/>
    <w:rPr>
      <w:rFonts w:ascii="Times New Roman" w:eastAsiaTheme="majorEastAsia" w:hAnsi="Times New Roman" w:cstheme="majorBidi"/>
      <w:b/>
      <w:kern w:val="0"/>
      <w:position w:val="-1"/>
      <w:szCs w:val="40"/>
      <w14:ligatures w14:val="none"/>
    </w:rPr>
  </w:style>
  <w:style w:type="character" w:customStyle="1" w:styleId="Heading2Char">
    <w:name w:val="Heading 2 Char"/>
    <w:basedOn w:val="DefaultParagraphFont"/>
    <w:link w:val="Heading2"/>
    <w:uiPriority w:val="9"/>
    <w:rsid w:val="00F407EB"/>
    <w:rPr>
      <w:rFonts w:ascii="Times New Roman" w:eastAsiaTheme="majorEastAsia" w:hAnsi="Times New Roman" w:cstheme="majorBidi"/>
      <w:b/>
      <w:kern w:val="0"/>
      <w:position w:val="-1"/>
      <w:sz w:val="22"/>
      <w:szCs w:val="32"/>
      <w14:ligatures w14:val="none"/>
    </w:rPr>
  </w:style>
  <w:style w:type="character" w:customStyle="1" w:styleId="Heading3Char">
    <w:name w:val="Heading 3 Char"/>
    <w:basedOn w:val="DefaultParagraphFont"/>
    <w:link w:val="Heading3"/>
    <w:uiPriority w:val="9"/>
    <w:semiHidden/>
    <w:rsid w:val="00261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AC6"/>
    <w:rPr>
      <w:rFonts w:eastAsiaTheme="majorEastAsia" w:cstheme="majorBidi"/>
      <w:color w:val="272727" w:themeColor="text1" w:themeTint="D8"/>
    </w:rPr>
  </w:style>
  <w:style w:type="paragraph" w:styleId="Title">
    <w:name w:val="Title"/>
    <w:basedOn w:val="Normal"/>
    <w:next w:val="Normal"/>
    <w:link w:val="TitleChar"/>
    <w:uiPriority w:val="10"/>
    <w:qFormat/>
    <w:rsid w:val="00261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AC6"/>
    <w:pPr>
      <w:numPr>
        <w:ilvl w:val="1"/>
      </w:numPr>
      <w:ind w:leftChars="-1" w:left="-1" w:hangingChars="1"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AC6"/>
    <w:pPr>
      <w:spacing w:before="160"/>
      <w:jc w:val="center"/>
    </w:pPr>
    <w:rPr>
      <w:i/>
      <w:iCs/>
      <w:color w:val="404040" w:themeColor="text1" w:themeTint="BF"/>
    </w:rPr>
  </w:style>
  <w:style w:type="character" w:customStyle="1" w:styleId="QuoteChar">
    <w:name w:val="Quote Char"/>
    <w:basedOn w:val="DefaultParagraphFont"/>
    <w:link w:val="Quote"/>
    <w:uiPriority w:val="29"/>
    <w:rsid w:val="00261AC6"/>
    <w:rPr>
      <w:i/>
      <w:iCs/>
      <w:color w:val="404040" w:themeColor="text1" w:themeTint="BF"/>
    </w:rPr>
  </w:style>
  <w:style w:type="paragraph" w:styleId="ListParagraph">
    <w:name w:val="List Paragraph"/>
    <w:basedOn w:val="Normal"/>
    <w:uiPriority w:val="34"/>
    <w:qFormat/>
    <w:rsid w:val="00261AC6"/>
    <w:pPr>
      <w:ind w:left="720"/>
      <w:contextualSpacing/>
    </w:pPr>
  </w:style>
  <w:style w:type="character" w:styleId="IntenseEmphasis">
    <w:name w:val="Intense Emphasis"/>
    <w:basedOn w:val="DefaultParagraphFont"/>
    <w:uiPriority w:val="21"/>
    <w:qFormat/>
    <w:rsid w:val="00261AC6"/>
    <w:rPr>
      <w:i/>
      <w:iCs/>
      <w:color w:val="0F4761" w:themeColor="accent1" w:themeShade="BF"/>
    </w:rPr>
  </w:style>
  <w:style w:type="paragraph" w:styleId="IntenseQuote">
    <w:name w:val="Intense Quote"/>
    <w:basedOn w:val="Normal"/>
    <w:next w:val="Normal"/>
    <w:link w:val="IntenseQuoteChar"/>
    <w:uiPriority w:val="30"/>
    <w:qFormat/>
    <w:rsid w:val="00261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AC6"/>
    <w:rPr>
      <w:i/>
      <w:iCs/>
      <w:color w:val="0F4761" w:themeColor="accent1" w:themeShade="BF"/>
    </w:rPr>
  </w:style>
  <w:style w:type="character" w:styleId="IntenseReference">
    <w:name w:val="Intense Reference"/>
    <w:basedOn w:val="DefaultParagraphFont"/>
    <w:uiPriority w:val="32"/>
    <w:qFormat/>
    <w:rsid w:val="00261AC6"/>
    <w:rPr>
      <w:b/>
      <w:bCs/>
      <w:smallCaps/>
      <w:color w:val="0F4761" w:themeColor="accent1" w:themeShade="BF"/>
      <w:spacing w:val="5"/>
    </w:rPr>
  </w:style>
  <w:style w:type="paragraph" w:styleId="Header">
    <w:name w:val="header"/>
    <w:basedOn w:val="Normal"/>
    <w:link w:val="HeaderChar"/>
    <w:uiPriority w:val="99"/>
    <w:unhideWhenUsed/>
    <w:rsid w:val="00261AC6"/>
    <w:pPr>
      <w:tabs>
        <w:tab w:val="center" w:pos="4680"/>
        <w:tab w:val="right" w:pos="9360"/>
      </w:tabs>
      <w:spacing w:line="240" w:lineRule="auto"/>
    </w:pPr>
  </w:style>
  <w:style w:type="character" w:customStyle="1" w:styleId="HeaderChar">
    <w:name w:val="Header Char"/>
    <w:basedOn w:val="DefaultParagraphFont"/>
    <w:link w:val="Header"/>
    <w:uiPriority w:val="99"/>
    <w:rsid w:val="00261AC6"/>
  </w:style>
  <w:style w:type="paragraph" w:styleId="Footer">
    <w:name w:val="footer"/>
    <w:basedOn w:val="Normal"/>
    <w:link w:val="FooterChar"/>
    <w:uiPriority w:val="99"/>
    <w:unhideWhenUsed/>
    <w:rsid w:val="00261AC6"/>
    <w:pPr>
      <w:tabs>
        <w:tab w:val="center" w:pos="4680"/>
        <w:tab w:val="right" w:pos="9360"/>
      </w:tabs>
      <w:spacing w:line="240" w:lineRule="auto"/>
    </w:pPr>
  </w:style>
  <w:style w:type="character" w:customStyle="1" w:styleId="FooterChar">
    <w:name w:val="Footer Char"/>
    <w:basedOn w:val="DefaultParagraphFont"/>
    <w:link w:val="Footer"/>
    <w:uiPriority w:val="99"/>
    <w:rsid w:val="00261AC6"/>
  </w:style>
  <w:style w:type="table" w:styleId="TableGrid">
    <w:name w:val="Table Grid"/>
    <w:basedOn w:val="TableNormal"/>
    <w:rsid w:val="00261AC6"/>
    <w:pPr>
      <w:widowControl w:val="0"/>
      <w:suppressAutoHyphens/>
      <w:spacing w:before="20" w:after="20" w:line="1" w:lineRule="atLeast"/>
      <w:ind w:leftChars="-1" w:left="-1" w:hangingChars="1" w:hanging="1"/>
      <w:textDirection w:val="btLr"/>
      <w:textAlignment w:val="top"/>
      <w:outlineLvl w:val="0"/>
    </w:pPr>
    <w:rPr>
      <w:rFonts w:ascii="Times New Roman" w:eastAsia="Times New Roman" w:hAnsi="Times New Roman" w:cs="Times New Roman"/>
      <w:kern w:val="0"/>
      <w:position w:val="-1"/>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6122">
      <w:bodyDiv w:val="1"/>
      <w:marLeft w:val="0"/>
      <w:marRight w:val="0"/>
      <w:marTop w:val="0"/>
      <w:marBottom w:val="0"/>
      <w:divBdr>
        <w:top w:val="none" w:sz="0" w:space="0" w:color="auto"/>
        <w:left w:val="none" w:sz="0" w:space="0" w:color="auto"/>
        <w:bottom w:val="none" w:sz="0" w:space="0" w:color="auto"/>
        <w:right w:val="none" w:sz="0" w:space="0" w:color="auto"/>
      </w:divBdr>
    </w:div>
    <w:div w:id="283073438">
      <w:bodyDiv w:val="1"/>
      <w:marLeft w:val="0"/>
      <w:marRight w:val="0"/>
      <w:marTop w:val="0"/>
      <w:marBottom w:val="0"/>
      <w:divBdr>
        <w:top w:val="none" w:sz="0" w:space="0" w:color="auto"/>
        <w:left w:val="none" w:sz="0" w:space="0" w:color="auto"/>
        <w:bottom w:val="none" w:sz="0" w:space="0" w:color="auto"/>
        <w:right w:val="none" w:sz="0" w:space="0" w:color="auto"/>
      </w:divBdr>
    </w:div>
    <w:div w:id="784933756">
      <w:bodyDiv w:val="1"/>
      <w:marLeft w:val="0"/>
      <w:marRight w:val="0"/>
      <w:marTop w:val="0"/>
      <w:marBottom w:val="0"/>
      <w:divBdr>
        <w:top w:val="none" w:sz="0" w:space="0" w:color="auto"/>
        <w:left w:val="none" w:sz="0" w:space="0" w:color="auto"/>
        <w:bottom w:val="none" w:sz="0" w:space="0" w:color="auto"/>
        <w:right w:val="none" w:sz="0" w:space="0" w:color="auto"/>
      </w:divBdr>
    </w:div>
    <w:div w:id="838614536">
      <w:bodyDiv w:val="1"/>
      <w:marLeft w:val="0"/>
      <w:marRight w:val="0"/>
      <w:marTop w:val="0"/>
      <w:marBottom w:val="0"/>
      <w:divBdr>
        <w:top w:val="none" w:sz="0" w:space="0" w:color="auto"/>
        <w:left w:val="none" w:sz="0" w:space="0" w:color="auto"/>
        <w:bottom w:val="none" w:sz="0" w:space="0" w:color="auto"/>
        <w:right w:val="none" w:sz="0" w:space="0" w:color="auto"/>
      </w:divBdr>
    </w:div>
    <w:div w:id="925458362">
      <w:bodyDiv w:val="1"/>
      <w:marLeft w:val="0"/>
      <w:marRight w:val="0"/>
      <w:marTop w:val="0"/>
      <w:marBottom w:val="0"/>
      <w:divBdr>
        <w:top w:val="none" w:sz="0" w:space="0" w:color="auto"/>
        <w:left w:val="none" w:sz="0" w:space="0" w:color="auto"/>
        <w:bottom w:val="none" w:sz="0" w:space="0" w:color="auto"/>
        <w:right w:val="none" w:sz="0" w:space="0" w:color="auto"/>
      </w:divBdr>
    </w:div>
    <w:div w:id="1180701860">
      <w:bodyDiv w:val="1"/>
      <w:marLeft w:val="0"/>
      <w:marRight w:val="0"/>
      <w:marTop w:val="0"/>
      <w:marBottom w:val="0"/>
      <w:divBdr>
        <w:top w:val="none" w:sz="0" w:space="0" w:color="auto"/>
        <w:left w:val="none" w:sz="0" w:space="0" w:color="auto"/>
        <w:bottom w:val="none" w:sz="0" w:space="0" w:color="auto"/>
        <w:right w:val="none" w:sz="0" w:space="0" w:color="auto"/>
      </w:divBdr>
    </w:div>
    <w:div w:id="1195196170">
      <w:bodyDiv w:val="1"/>
      <w:marLeft w:val="0"/>
      <w:marRight w:val="0"/>
      <w:marTop w:val="0"/>
      <w:marBottom w:val="0"/>
      <w:divBdr>
        <w:top w:val="none" w:sz="0" w:space="0" w:color="auto"/>
        <w:left w:val="none" w:sz="0" w:space="0" w:color="auto"/>
        <w:bottom w:val="none" w:sz="0" w:space="0" w:color="auto"/>
        <w:right w:val="none" w:sz="0" w:space="0" w:color="auto"/>
      </w:divBdr>
    </w:div>
    <w:div w:id="1959753729">
      <w:bodyDiv w:val="1"/>
      <w:marLeft w:val="0"/>
      <w:marRight w:val="0"/>
      <w:marTop w:val="0"/>
      <w:marBottom w:val="0"/>
      <w:divBdr>
        <w:top w:val="none" w:sz="0" w:space="0" w:color="auto"/>
        <w:left w:val="none" w:sz="0" w:space="0" w:color="auto"/>
        <w:bottom w:val="none" w:sz="0" w:space="0" w:color="auto"/>
        <w:right w:val="none" w:sz="0" w:space="0" w:color="auto"/>
      </w:divBdr>
    </w:div>
    <w:div w:id="2091847118">
      <w:bodyDiv w:val="1"/>
      <w:marLeft w:val="0"/>
      <w:marRight w:val="0"/>
      <w:marTop w:val="0"/>
      <w:marBottom w:val="0"/>
      <w:divBdr>
        <w:top w:val="none" w:sz="0" w:space="0" w:color="auto"/>
        <w:left w:val="none" w:sz="0" w:space="0" w:color="auto"/>
        <w:bottom w:val="none" w:sz="0" w:space="0" w:color="auto"/>
        <w:right w:val="none" w:sz="0" w:space="0" w:color="auto"/>
      </w:divBdr>
    </w:div>
    <w:div w:id="2095084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1755</Words>
  <Characters>11688</Characters>
  <Application>Microsoft Office Word</Application>
  <DocSecurity>0</DocSecurity>
  <Lines>238</Lines>
  <Paragraphs>118</Paragraphs>
  <ScaleCrop>false</ScaleCrop>
  <Company/>
  <LinksUpToDate>false</LinksUpToDate>
  <CharactersWithSpaces>13325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8</cp:revision>
  <dcterms:created xsi:type="dcterms:W3CDTF">2025-05-23T16:52:00Z</dcterms:created>
  <dcterms:modified xsi:type="dcterms:W3CDTF">2025-05-23T17:14:00Z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d1cce001-556b-4e1a-8f4c-73f82d4149f4</vt:lpwstr>
  </property>
</Properties>
</file>