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AS9110 Checklist – Clauses 4 to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Clause</w:t>
            </w:r>
          </w:p>
        </w:tc>
        <w:tc>
          <w:tcPr>
            <w:tcW w:type="dxa" w:w="2160"/>
          </w:tcPr>
          <w:p>
            <w:r>
              <w:t>Title</w:t>
            </w:r>
          </w:p>
        </w:tc>
        <w:tc>
          <w:tcPr>
            <w:tcW w:type="dxa" w:w="2160"/>
          </w:tcPr>
          <w:p>
            <w:r>
              <w:t>Requirement Text</w:t>
            </w:r>
          </w:p>
        </w:tc>
        <w:tc>
          <w:tcPr>
            <w:tcW w:type="dxa" w:w="2160"/>
          </w:tcPr>
          <w:p>
            <w:r>
              <w:t>AS9110-Specific</w:t>
            </w:r>
          </w:p>
        </w:tc>
      </w:tr>
      <w:tr>
        <w:tc>
          <w:tcPr>
            <w:tcW w:type="dxa" w:w="2160"/>
          </w:tcPr>
          <w:p>
            <w:r>
              <w:t>4.1</w:t>
            </w:r>
          </w:p>
        </w:tc>
        <w:tc>
          <w:tcPr>
            <w:tcW w:type="dxa" w:w="2160"/>
          </w:tcPr>
          <w:p>
            <w:r>
              <w:t>Understanding the Organization and Its Context</w:t>
            </w:r>
          </w:p>
        </w:tc>
        <w:tc>
          <w:tcPr>
            <w:tcW w:type="dxa" w:w="2160"/>
          </w:tcPr>
          <w:p>
            <w:r>
              <w:t>The organization shall determine external and internal issues that are relevant to its purpose and its strategic direction and that affect its ability to achieve the intended result(s) of its quality management system. The organization shall monitor and review this information.</w:t>
            </w:r>
          </w:p>
        </w:tc>
        <w:tc>
          <w:tcPr>
            <w:tcW w:type="dxa" w:w="2160"/>
          </w:tcPr>
          <w:p>
            <w:r>
              <w:t>FALSE</w:t>
            </w:r>
          </w:p>
        </w:tc>
      </w:tr>
      <w:tr>
        <w:tc>
          <w:tcPr>
            <w:tcW w:type="dxa" w:w="2160"/>
          </w:tcPr>
          <w:p>
            <w:r>
              <w:t>4.2</w:t>
            </w:r>
          </w:p>
        </w:tc>
        <w:tc>
          <w:tcPr>
            <w:tcW w:type="dxa" w:w="2160"/>
          </w:tcPr>
          <w:p>
            <w:r>
              <w:t>Understanding the Needs and Expectations of Interested Parties</w:t>
            </w:r>
          </w:p>
        </w:tc>
        <w:tc>
          <w:tcPr>
            <w:tcW w:type="dxa" w:w="2160"/>
          </w:tcPr>
          <w:p>
            <w:r>
              <w:t>Determine interested parties relevant to the QMS and their requirements. Monitor and review this information.</w:t>
            </w:r>
          </w:p>
        </w:tc>
        <w:tc>
          <w:tcPr>
            <w:tcW w:type="dxa" w:w="2160"/>
          </w:tcPr>
          <w:p>
            <w:r>
              <w:t>FALSE</w:t>
            </w:r>
          </w:p>
        </w:tc>
      </w:tr>
      <w:tr>
        <w:tc>
          <w:tcPr>
            <w:tcW w:type="dxa" w:w="2160"/>
          </w:tcPr>
          <w:p>
            <w:r>
              <w:t>4.4.1</w:t>
            </w:r>
          </w:p>
        </w:tc>
        <w:tc>
          <w:tcPr>
            <w:tcW w:type="dxa" w:w="2160"/>
          </w:tcPr>
          <w:p>
            <w:r>
              <w:t>QMS and Processes</w:t>
            </w:r>
          </w:p>
        </w:tc>
        <w:tc>
          <w:tcPr>
            <w:tcW w:type="dxa" w:w="2160"/>
          </w:tcPr>
          <w:p>
            <w:r>
              <w:t>**The organization’s quality management system shall address customer and applicable statutory and regulatory QMS requirements, including but not limited to approvals, certificates, ratings, capability list, or licenses.**</w:t>
            </w:r>
          </w:p>
        </w:tc>
        <w:tc>
          <w:tcPr>
            <w:tcW w:type="dxa" w:w="2160"/>
          </w:tcPr>
          <w:p>
            <w:r>
              <w:t>TRUE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