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Plan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Clause Focus</w:t>
            </w:r>
          </w:p>
        </w:tc>
        <w:tc>
          <w:tcPr>
            <w:tcW w:type="dxa" w:w="2160"/>
          </w:tcPr>
          <w:p>
            <w:r>
              <w:t>Auditor Assigned</w:t>
            </w:r>
          </w:p>
        </w:tc>
      </w:tr>
      <w:tr>
        <w:tc>
          <w:tcPr>
            <w:tcW w:type="dxa" w:w="2160"/>
          </w:tcPr>
          <w:p>
            <w:r>
              <w:t>08:00–08:30</w:t>
            </w:r>
          </w:p>
        </w:tc>
        <w:tc>
          <w:tcPr>
            <w:tcW w:type="dxa" w:w="2160"/>
          </w:tcPr>
          <w:p>
            <w:r>
              <w:t>Opening Meeting</w:t>
            </w:r>
          </w:p>
        </w:tc>
        <w:tc>
          <w:tcPr>
            <w:tcW w:type="dxa" w:w="2160"/>
          </w:tcPr>
          <w:p>
            <w:r>
              <w:t>5.1, 5.3, 7.1.6</w:t>
            </w:r>
          </w:p>
        </w:tc>
        <w:tc>
          <w:tcPr>
            <w:tcW w:type="dxa" w:w="2160"/>
          </w:tcPr>
          <w:p>
            <w:r>
              <w:t>Lead Auditor</w:t>
            </w:r>
          </w:p>
        </w:tc>
      </w:tr>
      <w:tr>
        <w:tc>
          <w:tcPr>
            <w:tcW w:type="dxa" w:w="2160"/>
          </w:tcPr>
          <w:p>
            <w:r>
              <w:t>08:30–09:15</w:t>
            </w:r>
          </w:p>
        </w:tc>
        <w:tc>
          <w:tcPr>
            <w:tcW w:type="dxa" w:w="2160"/>
          </w:tcPr>
          <w:p>
            <w:r>
              <w:t>Management Review</w:t>
            </w:r>
          </w:p>
        </w:tc>
        <w:tc>
          <w:tcPr>
            <w:tcW w:type="dxa" w:w="2160"/>
          </w:tcPr>
          <w:p>
            <w:r>
              <w:t>5.2, 6.2, 9.3</w:t>
            </w:r>
          </w:p>
        </w:tc>
        <w:tc>
          <w:tcPr>
            <w:tcW w:type="dxa" w:w="2160"/>
          </w:tcPr>
          <w:p>
            <w:r>
              <w:t>Lead Auditor</w:t>
            </w:r>
          </w:p>
        </w:tc>
      </w:tr>
      <w:tr>
        <w:tc>
          <w:tcPr>
            <w:tcW w:type="dxa" w:w="2160"/>
          </w:tcPr>
          <w:p>
            <w:r>
              <w:t>09:15–10:00</w:t>
            </w:r>
          </w:p>
        </w:tc>
        <w:tc>
          <w:tcPr>
            <w:tcW w:type="dxa" w:w="2160"/>
          </w:tcPr>
          <w:p>
            <w:r>
              <w:t>Quality Objectives + KPIs</w:t>
            </w:r>
          </w:p>
        </w:tc>
        <w:tc>
          <w:tcPr>
            <w:tcW w:type="dxa" w:w="2160"/>
          </w:tcPr>
          <w:p>
            <w:r>
              <w:t>6.2, 9.1.1, 10.1</w:t>
            </w:r>
          </w:p>
        </w:tc>
        <w:tc>
          <w:tcPr>
            <w:tcW w:type="dxa" w:w="2160"/>
          </w:tcPr>
          <w:p>
            <w:r>
              <w:t>Auditor 2</w:t>
            </w:r>
          </w:p>
        </w:tc>
      </w:tr>
      <w:tr>
        <w:tc>
          <w:tcPr>
            <w:tcW w:type="dxa" w:w="2160"/>
          </w:tcPr>
          <w:p>
            <w:r>
              <w:t>10:00–11:00</w:t>
            </w:r>
          </w:p>
        </w:tc>
        <w:tc>
          <w:tcPr>
            <w:tcW w:type="dxa" w:w="2160"/>
          </w:tcPr>
          <w:p>
            <w:r>
              <w:t>Contract Review + Order Entry</w:t>
            </w:r>
          </w:p>
        </w:tc>
        <w:tc>
          <w:tcPr>
            <w:tcW w:type="dxa" w:w="2160"/>
          </w:tcPr>
          <w:p>
            <w:r>
              <w:t>8.2.2–8.2.4</w:t>
            </w:r>
          </w:p>
        </w:tc>
        <w:tc>
          <w:tcPr>
            <w:tcW w:type="dxa" w:w="2160"/>
          </w:tcPr>
          <w:p>
            <w:r>
              <w:t>Auditor 2</w:t>
            </w:r>
          </w:p>
        </w:tc>
      </w:tr>
      <w:tr>
        <w:tc>
          <w:tcPr>
            <w:tcW w:type="dxa" w:w="2160"/>
          </w:tcPr>
          <w:p>
            <w:r>
              <w:t>11:00–12:00</w:t>
            </w:r>
          </w:p>
        </w:tc>
        <w:tc>
          <w:tcPr>
            <w:tcW w:type="dxa" w:w="2160"/>
          </w:tcPr>
          <w:p>
            <w:r>
              <w:t>Configuration Management</w:t>
            </w:r>
          </w:p>
        </w:tc>
        <w:tc>
          <w:tcPr>
            <w:tcW w:type="dxa" w:w="2160"/>
          </w:tcPr>
          <w:p>
            <w:r>
              <w:t>8.1.2, 8.5.6</w:t>
            </w:r>
          </w:p>
        </w:tc>
        <w:tc>
          <w:tcPr>
            <w:tcW w:type="dxa" w:w="2160"/>
          </w:tcPr>
          <w:p>
            <w:r>
              <w:t>Lead Auditor</w:t>
            </w:r>
          </w:p>
        </w:tc>
      </w:tr>
      <w:tr>
        <w:tc>
          <w:tcPr>
            <w:tcW w:type="dxa" w:w="2160"/>
          </w:tcPr>
          <w:p>
            <w:r>
              <w:t>13:00–14:00</w:t>
            </w:r>
          </w:p>
        </w:tc>
        <w:tc>
          <w:tcPr>
            <w:tcW w:type="dxa" w:w="2160"/>
          </w:tcPr>
          <w:p>
            <w:r>
              <w:t>Supplier Controls</w:t>
            </w:r>
          </w:p>
        </w:tc>
        <w:tc>
          <w:tcPr>
            <w:tcW w:type="dxa" w:w="2160"/>
          </w:tcPr>
          <w:p>
            <w:r>
              <w:t>8.4.1–8.4.3</w:t>
            </w:r>
          </w:p>
        </w:tc>
        <w:tc>
          <w:tcPr>
            <w:tcW w:type="dxa" w:w="2160"/>
          </w:tcPr>
          <w:p>
            <w:r>
              <w:t>Lead Auditor</w:t>
            </w:r>
          </w:p>
        </w:tc>
      </w:tr>
      <w:tr>
        <w:tc>
          <w:tcPr>
            <w:tcW w:type="dxa" w:w="2160"/>
          </w:tcPr>
          <w:p>
            <w:r>
              <w:t>14:00–15:00</w:t>
            </w:r>
          </w:p>
        </w:tc>
        <w:tc>
          <w:tcPr>
            <w:tcW w:type="dxa" w:w="2160"/>
          </w:tcPr>
          <w:p>
            <w:r>
              <w:t>Special Process: Bonding</w:t>
            </w:r>
          </w:p>
        </w:tc>
        <w:tc>
          <w:tcPr>
            <w:tcW w:type="dxa" w:w="2160"/>
          </w:tcPr>
          <w:p>
            <w:r>
              <w:t>8.5.1, 8.5.1.2</w:t>
            </w:r>
          </w:p>
        </w:tc>
        <w:tc>
          <w:tcPr>
            <w:tcW w:type="dxa" w:w="2160"/>
          </w:tcPr>
          <w:p>
            <w:r>
              <w:t>Auditor 2</w:t>
            </w:r>
          </w:p>
        </w:tc>
      </w:tr>
      <w:tr>
        <w:tc>
          <w:tcPr>
            <w:tcW w:type="dxa" w:w="2160"/>
          </w:tcPr>
          <w:p>
            <w:r>
              <w:t>15:00–16:00</w:t>
            </w:r>
          </w:p>
        </w:tc>
        <w:tc>
          <w:tcPr>
            <w:tcW w:type="dxa" w:w="2160"/>
          </w:tcPr>
          <w:p>
            <w:r>
              <w:t>NC + CAR + Risk Register</w:t>
            </w:r>
          </w:p>
        </w:tc>
        <w:tc>
          <w:tcPr>
            <w:tcW w:type="dxa" w:w="2160"/>
          </w:tcPr>
          <w:p>
            <w:r>
              <w:t>10.2, 10.3, 6.1</w:t>
            </w:r>
          </w:p>
        </w:tc>
        <w:tc>
          <w:tcPr>
            <w:tcW w:type="dxa" w:w="2160"/>
          </w:tcPr>
          <w:p>
            <w:r>
              <w:t>Joint Session</w:t>
            </w:r>
          </w:p>
        </w:tc>
      </w:tr>
      <w:tr>
        <w:tc>
          <w:tcPr>
            <w:tcW w:type="dxa" w:w="2160"/>
          </w:tcPr>
          <w:p>
            <w:r>
              <w:t>16:00–16:30</w:t>
            </w:r>
          </w:p>
        </w:tc>
        <w:tc>
          <w:tcPr>
            <w:tcW w:type="dxa" w:w="2160"/>
          </w:tcPr>
          <w:p>
            <w:r>
              <w:t>Closing Meeting</w:t>
            </w:r>
          </w:p>
        </w:tc>
        <w:tc>
          <w:tcPr>
            <w:tcW w:type="dxa" w:w="2160"/>
          </w:tcPr>
          <w:p>
            <w:r>
              <w:t>5.1.1, 10.2.3</w:t>
            </w:r>
          </w:p>
        </w:tc>
        <w:tc>
          <w:tcPr>
            <w:tcW w:type="dxa" w:w="2160"/>
          </w:tcPr>
          <w:p>
            <w:r>
              <w:t>Lead Auditor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