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 Audit Case Study – Orbital Dynamics, Inc.</w:t>
      </w:r>
    </w:p>
    <w:p>
      <w:r>
        <w:t>This case study simulates a full-scope AS9100 Rev D internal audit of Orbital Dynamics, Inc., a fictional aerospace design and manufacturing organization. It is structured to meet T-PEx requirements and supports the practical application phase of the AS9100 Lead Auditor training program.</w:t>
        <w:br/>
      </w:r>
    </w:p>
    <w:p>
      <w:pPr>
        <w:pStyle w:val="Heading2"/>
      </w:pPr>
      <w:r>
        <w:t>Organization Profile</w:t>
      </w:r>
    </w:p>
    <w:p>
      <w:r>
        <w:t>Name: Orbital Dynamics, Inc.</w:t>
        <w:br/>
        <w:t>Location: Phoenix, AZ, USA</w:t>
        <w:br/>
        <w:t>Employees: 120 (Design, Production, Quality, and Support)</w:t>
        <w:br/>
        <w:t>Certifications: AS9100 Rev D, FAA Part 21 Subpart G PMA</w:t>
        <w:br/>
        <w:t>Scope: Design and manufacture of aerospace-grade attitude control modules for commercial and defense applications.</w:t>
        <w:br/>
      </w:r>
    </w:p>
    <w:p>
      <w:pPr>
        <w:pStyle w:val="Heading2"/>
      </w:pPr>
      <w:r>
        <w:t>QMS Scope Statement</w:t>
      </w:r>
    </w:p>
    <w:p>
      <w:r>
        <w:t>"Design and manufacture of aerospace-grade attitude control modules at Phoenix headquarters. No exclusions."</w:t>
        <w:br/>
      </w:r>
    </w:p>
    <w:p>
      <w:pPr>
        <w:pStyle w:val="Heading2"/>
      </w:pPr>
      <w:r>
        <w:t>Mock Audit Overview</w:t>
      </w:r>
    </w:p>
    <w:p>
      <w:r>
        <w:t>Audit Type: Internal Audit (Simulated Full Scope)</w:t>
        <w:br/>
        <w:t>Standard: AS9100 Rev D</w:t>
        <w:br/>
        <w:t>Duration: 1.5 days (simulated in one session)</w:t>
        <w:br/>
        <w:t>Audit Team: Two (Lead Auditor + Auditor)</w:t>
        <w:br/>
        <w:t>Selected Areas for Sampling:</w:t>
        <w:br/>
        <w:t>- Management Review and Objectives</w:t>
        <w:br/>
        <w:t>- Contract Review and Order Entry</w:t>
        <w:br/>
        <w:t>- Configuration Management</w:t>
        <w:br/>
        <w:t>- Supplier Controls</w:t>
        <w:br/>
        <w:t>- Special Process (Adhesive Bonding)</w:t>
        <w:br/>
        <w:t>- Nonconformance and Corrective Action Process</w:t>
        <w:br/>
      </w:r>
    </w:p>
    <w:p>
      <w:pPr>
        <w:pStyle w:val="Heading2"/>
      </w:pPr>
      <w:r>
        <w:t>Documents Provided for Audit</w:t>
      </w:r>
    </w:p>
    <w:p>
      <w:r>
        <w:t>The following simulated documents are provided in the student packet for audit evidence sampling:</w:t>
        <w:br/>
        <w:t>- Excerpt from the Orbital Dynamics Quality Manual (Clauses 4–10)</w:t>
        <w:br/>
        <w:t>- Organizational Chart (QA, Engineering, and Manufacturing departments)</w:t>
        <w:br/>
        <w:t>- SOPs:</w:t>
        <w:br/>
        <w:t xml:space="preserve">   1. SOP-820-01: Supplier Evaluation &amp; Monitoring</w:t>
        <w:br/>
        <w:t xml:space="preserve">   2. SOP-853-02: Control of Adhesive Bonding Process</w:t>
        <w:br/>
        <w:t xml:space="preserve">   3. SOP-750-01: Control of Documented Information</w:t>
        <w:br/>
        <w:t>- Risk Register (limited entries)</w:t>
        <w:br/>
        <w:t>- Two active Nonconformance Reports (NCR-1119, NCR-1121)</w:t>
        <w:br/>
        <w:t>- Corrective Action (CAR-2023-004) – still open, two extensions requested</w:t>
        <w:br/>
        <w:t>- Performance Dashboard (3-month OTD decline; 82% → 75%)</w:t>
        <w:br/>
        <w:t>- Last Management Review Minutes (summary only)</w:t>
        <w:br/>
      </w:r>
    </w:p>
    <w:p>
      <w:pPr>
        <w:pStyle w:val="Heading2"/>
      </w:pPr>
      <w:r>
        <w:t>Audit Objectives</w:t>
      </w:r>
    </w:p>
    <w:p>
      <w:r>
        <w:t>Trainees are expected to plan and execute a mock audit, identify objective evidence, interview two assigned staff, and document two clause-based findings. Deliverables include:</w:t>
        <w:br/>
        <w:t>- Audit Plan</w:t>
        <w:br/>
        <w:t>- Audit Checklist</w:t>
        <w:br/>
        <w:t>- Interview Log</w:t>
        <w:br/>
        <w:t>- Nonconformance Log</w:t>
        <w:br/>
        <w:t>- Audit Report Summary with Conformity Statement</w:t>
        <w:br/>
        <w:t>- Scoring Rubric Self-Assessment</w:t>
        <w:br/>
      </w:r>
    </w:p>
    <w:p>
      <w:pPr>
        <w:pStyle w:val="Heading2"/>
      </w:pPr>
      <w:r>
        <w:t>Interview Subjects</w:t>
      </w:r>
    </w:p>
    <w:p>
      <w:r>
        <w:t>1. Quality Manager (Patricia Li)</w:t>
        <w:br/>
        <w:t xml:space="preserve">   Topics: Risk management, CAR closure, Management Review metrics</w:t>
        <w:br/>
        <w:t>2. Cell Operator (Alex Ramirez)</w:t>
        <w:br/>
        <w:t xml:space="preserve">   Topics: Adhesive bonding work instructions, expired materials, reaction to NCRs</w:t>
        <w:br/>
      </w:r>
    </w:p>
    <w:p>
      <w:pPr>
        <w:pStyle w:val="Heading2"/>
      </w:pPr>
      <w:r>
        <w:t>Embedded Case Details</w:t>
      </w:r>
    </w:p>
    <w:p>
      <w:r>
        <w:t>Learners must detect that:</w:t>
        <w:br/>
        <w:t>- Scope is correct, but risk register ignores external factors.</w:t>
        <w:br/>
        <w:t>- Supplier with multiple escapes has not been re-evaluated.</w:t>
        <w:br/>
        <w:t>- Bonding process changed parameters, but no delta-FAI was conducted.</w:t>
        <w:br/>
        <w:t>- KPI data shows performance dip, yet no corrective action is logged.</w:t>
        <w:br/>
        <w:t>- A CAR has been extended twice without documented effectiveness checks.</w:t>
        <w:br/>
      </w:r>
    </w:p>
    <w:p>
      <w:pPr>
        <w:pStyle w:val="Heading2"/>
      </w:pPr>
      <w:r>
        <w:t>Expected Findings (Examples)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Finding Summary</w:t>
            </w:r>
          </w:p>
        </w:tc>
        <w:tc>
          <w:tcPr>
            <w:tcW w:type="dxa" w:w="2880"/>
          </w:tcPr>
          <w:p>
            <w:r>
              <w:t>Risk Theme</w:t>
            </w:r>
          </w:p>
        </w:tc>
      </w:tr>
      <w:tr>
        <w:tc>
          <w:tcPr>
            <w:tcW w:type="dxa" w:w="2880"/>
          </w:tcPr>
          <w:p>
            <w:r>
              <w:t>8.4.2</w:t>
            </w:r>
          </w:p>
        </w:tc>
        <w:tc>
          <w:tcPr>
            <w:tcW w:type="dxa" w:w="2880"/>
          </w:tcPr>
          <w:p>
            <w:r>
              <w:t>Supplier not re-evaluated after multiple escapes</w:t>
            </w:r>
          </w:p>
        </w:tc>
        <w:tc>
          <w:tcPr>
            <w:tcW w:type="dxa" w:w="2880"/>
          </w:tcPr>
          <w:p>
            <w:r>
              <w:t>Supplier performance risk</w:t>
            </w:r>
          </w:p>
        </w:tc>
      </w:tr>
      <w:tr>
        <w:tc>
          <w:tcPr>
            <w:tcW w:type="dxa" w:w="2880"/>
          </w:tcPr>
          <w:p>
            <w:r>
              <w:t>8.5.1.2</w:t>
            </w:r>
          </w:p>
        </w:tc>
        <w:tc>
          <w:tcPr>
            <w:tcW w:type="dxa" w:w="2880"/>
          </w:tcPr>
          <w:p>
            <w:r>
              <w:t>No delta-FAI after process change</w:t>
            </w:r>
          </w:p>
        </w:tc>
        <w:tc>
          <w:tcPr>
            <w:tcW w:type="dxa" w:w="2880"/>
          </w:tcPr>
          <w:p>
            <w:r>
              <w:t>Undetected design escape</w:t>
            </w:r>
          </w:p>
        </w:tc>
      </w:tr>
      <w:tr>
        <w:tc>
          <w:tcPr>
            <w:tcW w:type="dxa" w:w="2880"/>
          </w:tcPr>
          <w:p>
            <w:r>
              <w:t>10.2.1</w:t>
            </w:r>
          </w:p>
        </w:tc>
        <w:tc>
          <w:tcPr>
            <w:tcW w:type="dxa" w:w="2880"/>
          </w:tcPr>
          <w:p>
            <w:r>
              <w:t>CAR extended twice with no effectiveness check</w:t>
            </w:r>
          </w:p>
        </w:tc>
        <w:tc>
          <w:tcPr>
            <w:tcW w:type="dxa" w:w="2880"/>
          </w:tcPr>
          <w:p>
            <w:r>
              <w:t>Root cause not addressed</w:t>
            </w:r>
          </w:p>
        </w:tc>
      </w:tr>
      <w:tr>
        <w:tc>
          <w:tcPr>
            <w:tcW w:type="dxa" w:w="2880"/>
          </w:tcPr>
          <w:p>
            <w:r>
              <w:t>9.1.1</w:t>
            </w:r>
          </w:p>
        </w:tc>
        <w:tc>
          <w:tcPr>
            <w:tcW w:type="dxa" w:w="2880"/>
          </w:tcPr>
          <w:p>
            <w:r>
              <w:t>Performance trend ignored (OTD dropped 7%)</w:t>
            </w:r>
          </w:p>
        </w:tc>
        <w:tc>
          <w:tcPr>
            <w:tcW w:type="dxa" w:w="2880"/>
          </w:tcPr>
          <w:p>
            <w:r>
              <w:t>Missed early warning signals</w:t>
            </w:r>
          </w:p>
        </w:tc>
      </w:tr>
      <w:tr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External cyber risk not captured in risk register</w:t>
            </w:r>
          </w:p>
        </w:tc>
        <w:tc>
          <w:tcPr>
            <w:tcW w:type="dxa" w:w="2880"/>
          </w:tcPr>
          <w:p>
            <w:r>
              <w:t>Untracked emerging threat</w:t>
            </w:r>
          </w:p>
        </w:tc>
      </w:tr>
    </w:tbl>
    <w:p>
      <w:pPr>
        <w:pStyle w:val="Heading2"/>
      </w:pPr>
      <w:r>
        <w:t>Conclusion</w:t>
      </w:r>
    </w:p>
    <w:p>
      <w:r>
        <w:t>This mock audit is intended to simulate real auditor duties: planning, probing, evidence analysis, reporting, and improvement thinking. Trainees are encouraged to write their findings clearly, link to clauses, and support with sampled records.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