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Corrective Action Report – CAR-2023-004 (Open)</w:t>
      </w:r>
    </w:p>
    <w:p>
      <w:r>
        <w:t>Issue: Document release occurred prior to QA approval.</w:t>
        <w:br/>
        <w:t>Date: March 2023</w:t>
        <w:br/>
        <w:t>Owner: Document Control Coordinator</w:t>
        <w:br/>
        <w:t>Initial Action: Training conducted. QA checklist added.</w:t>
        <w:br/>
        <w:t>Status: Reopened July 2023 due to recurrence. Extension approved. No evidence of effectiveness review.</w:t>
        <w:br/>
        <w:t>Due Date: Extended to December 2024.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