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Dashboard – OTD Decline</w:t>
      </w:r>
    </w:p>
    <w:p>
      <w:r>
        <w:t>OTD (On-Time Delivery) – Last 3 Months</w:t>
        <w:br/>
        <w:t>May 2024 – 82%</w:t>
        <w:br/>
        <w:t>June 2024 – 78%</w:t>
        <w:br/>
        <w:t>July 2024 – 75%</w:t>
        <w:br/>
        <w:t>No CAR initiated. No entry in risk register. KPI visible on dashboard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