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Orbital Dynamics QMS Excerpt – Clauses 4 to 10</w:t>
      </w:r>
    </w:p>
    <w:p>
      <w:r>
        <w:t>This document includes policy-level excerpts from Orbital Dynamics, Inc.’s Quality Management System.</w:t>
        <w:br/>
        <w:t>Clause 4 – Context of the Organization: Scope includes design and manufacture of control modules. Risk register includes finance, fire, and supplier risk only.</w:t>
        <w:br/>
        <w:t>Clause 5 – Leadership: Leadership commitment confirmed in Management Review but no KPI review evident.</w:t>
        <w:br/>
        <w:t>Clause 6 – Planning: No documented risk plan for cyber or raw material supply. No documented objectives linked to 2024 OTD.</w:t>
        <w:br/>
        <w:t>Clause 7 – Support: Training matrix current. Document control SOP needs revision. ERP is used for all records.</w:t>
        <w:br/>
        <w:t>Clause 8 – Operation: Contract review documented. Bonding process not covered by delta-FAI despite revision. Supplier escapes not triggering re-evaluation.</w:t>
        <w:br/>
        <w:t>Clause 9 – Performance Evaluation: KPIs monitored but no action logged for trends. Management Review held bi-annually.</w:t>
        <w:br/>
        <w:t>Clause 10 – Improvement: Two CARs reopened. No evidence of effectiveness check.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