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SOP-750-01: Control of Documented Information</w:t>
      </w:r>
    </w:p>
    <w:p>
      <w:r>
        <w:t>1. Documents created using controlled templates.</w:t>
        <w:br/>
        <w:t>2. Approvals required before release.</w:t>
        <w:br/>
        <w:t>3. Archive retention: 10 years for Q-records; 3 years for WI.</w:t>
        <w:br/>
        <w:t>4. Changes logged in DCR form and reviewed by QA.</w:t>
        <w:br/>
        <w:t>5. Obsolete versions removed from active folders within 48 hours.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