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 Career Self‑Assessment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Competence Cluster</w:t>
            </w:r>
          </w:p>
        </w:tc>
        <w:tc>
          <w:tcPr>
            <w:tcW w:type="dxa" w:w="2160"/>
          </w:tcPr>
          <w:p>
            <w:r>
              <w:t>Sub‑skills</w:t>
            </w:r>
          </w:p>
        </w:tc>
        <w:tc>
          <w:tcPr>
            <w:tcW w:type="dxa" w:w="2160"/>
          </w:tcPr>
          <w:p>
            <w:r>
              <w:t>Rating 1-5</w:t>
            </w:r>
          </w:p>
        </w:tc>
        <w:tc>
          <w:tcPr>
            <w:tcW w:type="dxa" w:w="2160"/>
          </w:tcPr>
          <w:p>
            <w:r>
              <w:t>Gap notes</w:t>
            </w:r>
          </w:p>
        </w:tc>
      </w:tr>
      <w:tr>
        <w:tc>
          <w:tcPr>
            <w:tcW w:type="dxa" w:w="2160"/>
          </w:tcPr>
          <w:p>
            <w:r>
              <w:t>Audit principles</w:t>
            </w:r>
          </w:p>
        </w:tc>
        <w:tc>
          <w:tcPr>
            <w:tcW w:type="dxa" w:w="2160"/>
          </w:tcPr>
          <w:p>
            <w:r>
              <w:t>Integrity, fair presentation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Programme mgmt</w:t>
            </w:r>
          </w:p>
        </w:tc>
        <w:tc>
          <w:tcPr>
            <w:tcW w:type="dxa" w:w="2160"/>
          </w:tcPr>
          <w:p>
            <w:r>
              <w:t>Risk scheduling, OCAP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Technical expertise</w:t>
            </w:r>
          </w:p>
        </w:tc>
        <w:tc>
          <w:tcPr>
            <w:tcW w:type="dxa" w:w="2160"/>
          </w:tcPr>
          <w:p>
            <w:r>
              <w:t>Special processes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Soft skills</w:t>
            </w:r>
          </w:p>
        </w:tc>
        <w:tc>
          <w:tcPr>
            <w:tcW w:type="dxa" w:w="2160"/>
          </w:tcPr>
          <w:p>
            <w:r>
              <w:t>Diplomacy, probing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OASIS admin</w:t>
            </w:r>
          </w:p>
        </w:tc>
        <w:tc>
          <w:tcPr>
            <w:tcW w:type="dxa" w:w="2160"/>
          </w:tcPr>
          <w:p>
            <w:r>
              <w:t>Evidence uploads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CPD hours</w:t>
            </w:r>
          </w:p>
        </w:tc>
        <w:tc>
          <w:tcPr>
            <w:tcW w:type="dxa" w:w="2160"/>
          </w:tcPr>
          <w:p>
            <w:r>
              <w:t>Target ≥20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