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[Logo]</w:t>
            </w:r>
          </w:p>
        </w:tc>
        <w:tc>
          <w:tcPr>
            <w:tcW w:type="dxa" w:w="2160"/>
          </w:tcPr>
          <w:p>
            <w:r>
              <w:t>[the Organization]</w:t>
            </w:r>
          </w:p>
        </w:tc>
        <w:tc>
          <w:tcPr>
            <w:tcW w:type="dxa" w:w="2160"/>
          </w:tcPr>
          <w:p>
            <w:r>
              <w:t>Document Number</w:t>
            </w:r>
          </w:p>
        </w:tc>
        <w:tc>
          <w:tcPr>
            <w:tcW w:type="dxa" w:w="2160"/>
          </w:tcPr>
          <w:p>
            <w:r>
              <w:t>A-610-001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Risk Priority Matrix (Visual Aid)</w:t>
            </w:r>
          </w:p>
        </w:tc>
        <w:tc>
          <w:tcPr>
            <w:tcW w:type="dxa" w:w="2160"/>
          </w:tcPr>
          <w:p>
            <w:r>
              <w:t>Revision</w:t>
            </w:r>
          </w:p>
        </w:tc>
        <w:tc>
          <w:tcPr>
            <w:tcW w:type="dxa" w:w="2160"/>
          </w:tcPr>
          <w:p>
            <w:r>
              <w:t>Rev A</w:t>
            </w:r>
          </w:p>
        </w:tc>
      </w:tr>
    </w:tbl>
    <w:p/>
    <w:p>
      <w:pPr>
        <w:pStyle w:val="Heading2"/>
      </w:pPr>
      <w:r>
        <w:t>Objective</w:t>
      </w:r>
    </w:p>
    <w:p>
      <w:r>
        <w:t>Provides a standardized method to evaluate and prioritize risks related to maintenance operations and QMS processes.</w:t>
      </w:r>
    </w:p>
    <w:p>
      <w:pPr>
        <w:pStyle w:val="Heading2"/>
      </w:pPr>
      <w:r>
        <w:t>Applicability</w:t>
      </w:r>
    </w:p>
    <w:p>
      <w:r>
        <w:t>Applies to risk evaluation activities, including safety, compliance, and operational risks in maintenance.</w:t>
      </w:r>
    </w:p>
    <w:p>
      <w:pPr>
        <w:pStyle w:val="Heading2"/>
      </w:pPr>
      <w:r>
        <w:t>Responsibilities &amp; Authorities</w:t>
      </w:r>
    </w:p>
    <w:p>
      <w:r>
        <w:t>The [Quality Manager] maintains this matrix; Process Owners apply it during planning and change assessments.</w:t>
      </w:r>
    </w:p>
    <w:p>
      <w:pPr>
        <w:pStyle w:val="Heading2"/>
      </w:pPr>
      <w:r>
        <w:t>Process</w:t>
      </w:r>
    </w:p>
    <w:p>
      <w:pPr>
        <w:pStyle w:val="Heading3"/>
      </w:pPr>
      <w:r>
        <w:t>How to Use</w:t>
      </w:r>
    </w:p>
    <w:p>
      <w:r>
        <w:t>For each identified risk, assess likelihood and severity using defined scales and plot on this matrix.</w:t>
      </w:r>
    </w:p>
    <w:p>
      <w:r>
        <w:t>Prioritize mitigation for high-priority (upper-right) risks first.</w:t>
      </w:r>
    </w:p>
    <w:p>
      <w:pPr>
        <w:pStyle w:val="Heading2"/>
      </w:pPr>
      <w:r>
        <w:t>Opportunities &amp; Risks</w:t>
      </w:r>
    </w:p>
    <w:p>
      <w:r>
        <w:t>Misapplied scoring can distort priorities; training and calibration are required.</w:t>
      </w:r>
    </w:p>
    <w:p>
      <w:pPr>
        <w:pStyle w:val="Heading2"/>
      </w:pPr>
      <w:r>
        <w:t>References</w:t>
      </w:r>
    </w:p>
    <w:p>
      <w:r>
        <w:t>AS9110 (current rev.)</w:t>
      </w:r>
    </w:p>
    <w:p>
      <w:pPr>
        <w:pStyle w:val="Heading2"/>
      </w:pPr>
      <w:r>
        <w:t>Definitions &amp; Acronyms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 / Acronym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Combination of likelihood and consequence.</w:t>
            </w:r>
          </w:p>
        </w:tc>
      </w:tr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Effect on safety/compliance if risk occurs.</w:t>
            </w:r>
          </w:p>
        </w:tc>
      </w:tr>
    </w:tbl>
    <w:p/>
    <w:p>
      <w:pPr>
        <w:pStyle w:val="Heading2"/>
      </w:pPr>
      <w:r>
        <w:t>Documented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Record / Doc</w:t>
            </w:r>
          </w:p>
        </w:tc>
        <w:tc>
          <w:tcPr>
            <w:tcW w:type="dxa" w:w="2880"/>
          </w:tcPr>
          <w:p>
            <w:r>
              <w:t>Retention / Location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Risk Assessments</w:t>
            </w:r>
          </w:p>
        </w:tc>
        <w:tc>
          <w:tcPr>
            <w:tcW w:type="dxa" w:w="2880"/>
          </w:tcPr>
          <w:p>
            <w:r>
              <w:t>Retain per Category B / QMS Repository</w:t>
            </w:r>
          </w:p>
        </w:tc>
        <w:tc>
          <w:tcPr>
            <w:tcW w:type="dxa" w:w="2880"/>
          </w:tcPr>
          <w:p>
            <w:r>
              <w:t>Process Owners</w:t>
            </w:r>
          </w:p>
        </w:tc>
      </w:tr>
    </w:tbl>
    <w:p/>
    <w:p>
      <w:pPr>
        <w:pStyle w:val="Heading2"/>
      </w:pPr>
      <w:r>
        <w:t>AS9110 Change Log (vs. AS9100 Baseline)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Clause(s)</w:t>
            </w:r>
          </w:p>
        </w:tc>
        <w:tc>
          <w:tcPr>
            <w:tcW w:type="dxa" w:w="2160"/>
          </w:tcPr>
          <w:p>
            <w:r>
              <w:t>AS9100 Baseline (summary)</w:t>
            </w:r>
          </w:p>
        </w:tc>
        <w:tc>
          <w:tcPr>
            <w:tcW w:type="dxa" w:w="2160"/>
          </w:tcPr>
          <w:p>
            <w:r>
              <w:t>AS9110 Modification</w:t>
            </w:r>
          </w:p>
        </w:tc>
        <w:tc>
          <w:tcPr>
            <w:tcW w:type="dxa" w:w="2160"/>
          </w:tcPr>
          <w:p>
            <w:r>
              <w:t>Reason / Notes</w:t>
            </w:r>
          </w:p>
        </w:tc>
      </w:tr>
      <w:tr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AS9100 generic risk matrix</w:t>
            </w:r>
          </w:p>
        </w:tc>
        <w:tc>
          <w:tcPr>
            <w:tcW w:type="dxa" w:w="2160"/>
          </w:tcPr>
          <w:p>
            <w:r>
              <w:t>Contextualized for maintenance safety and compliance impact.</w:t>
            </w:r>
          </w:p>
        </w:tc>
        <w:tc>
          <w:tcPr>
            <w:tcW w:type="dxa" w:w="2160"/>
          </w:tcPr>
          <w:p>
            <w:r>
              <w:t>Supports RBT in maintenance planning.</w:t>
            </w:r>
          </w:p>
        </w:tc>
      </w:tr>
    </w:tbl>
    <w:p/>
    <w:p>
      <w:pPr>
        <w:pStyle w:val="Heading2"/>
      </w:pPr>
      <w:r>
        <w:t>AS9110 Compliance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Clause</w:t>
            </w:r>
          </w:p>
        </w:tc>
        <w:tc>
          <w:tcPr>
            <w:tcW w:type="dxa" w:w="2880"/>
          </w:tcPr>
          <w:p>
            <w:r>
              <w:t>Requirement (AS9110)</w:t>
            </w:r>
          </w:p>
        </w:tc>
        <w:tc>
          <w:tcPr>
            <w:tcW w:type="dxa" w:w="2880"/>
          </w:tcPr>
          <w:p>
            <w:r>
              <w:t>Addressed in Section</w:t>
            </w:r>
          </w:p>
        </w:tc>
      </w:tr>
      <w:tr>
        <w:tc>
          <w:tcPr>
            <w:tcW w:type="dxa" w:w="2880"/>
          </w:tcPr>
          <w:p>
            <w:r>
              <w:t>6.1</w:t>
            </w:r>
          </w:p>
        </w:tc>
        <w:tc>
          <w:tcPr>
            <w:tcW w:type="dxa" w:w="2880"/>
          </w:tcPr>
          <w:p>
            <w:r>
              <w:t>Risk evaluation method defined.</w:t>
            </w:r>
          </w:p>
        </w:tc>
        <w:tc>
          <w:tcPr>
            <w:tcW w:type="dxa" w:w="2880"/>
          </w:tcPr>
          <w:p>
            <w:r>
              <w:t>How to Use</w:t>
            </w:r>
          </w:p>
        </w:tc>
      </w:tr>
    </w:tbl>
    <w:p/>
    <w:p>
      <w:pPr>
        <w:pStyle w:val="Heading2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Description of Change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2025-08-12</w:t>
            </w:r>
          </w:p>
        </w:tc>
        <w:tc>
          <w:tcPr>
            <w:tcW w:type="dxa" w:w="2160"/>
          </w:tcPr>
          <w:p>
            <w:r>
              <w:t>Visual aid aligned to AS9110 risk context.</w:t>
            </w:r>
          </w:p>
        </w:tc>
        <w:tc>
          <w:tcPr>
            <w:tcW w:type="dxa" w:w="2160"/>
          </w:tcPr>
          <w:p>
            <w:r>
              <w:t>OQCQMS (Conform-Edge)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 w:val="0"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