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[Logo]</w:t>
            </w:r>
          </w:p>
        </w:tc>
        <w:tc>
          <w:tcPr>
            <w:tcW w:type="dxa" w:w="2160"/>
          </w:tcPr>
          <w:p>
            <w:r>
              <w:t>[the Organization]</w:t>
            </w:r>
          </w:p>
        </w:tc>
        <w:tc>
          <w:tcPr>
            <w:tcW w:type="dxa" w:w="2160"/>
          </w:tcPr>
          <w:p>
            <w:r>
              <w:t>Document Number</w:t>
            </w:r>
          </w:p>
        </w:tc>
        <w:tc>
          <w:tcPr>
            <w:tcW w:type="dxa" w:w="2160"/>
          </w:tcPr>
          <w:p>
            <w:r>
              <w:t>P-500-01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Leadership and Commitment</w:t>
            </w:r>
          </w:p>
        </w:tc>
        <w:tc>
          <w:tcPr>
            <w:tcW w:type="dxa" w:w="2160"/>
          </w:tcPr>
          <w:p>
            <w:r>
              <w:t>Revision</w:t>
            </w:r>
          </w:p>
        </w:tc>
        <w:tc>
          <w:tcPr>
            <w:tcW w:type="dxa" w:w="2160"/>
          </w:tcPr>
          <w:p>
            <w:r>
              <w:t>Rev A</w:t>
            </w:r>
          </w:p>
        </w:tc>
      </w:tr>
    </w:tbl>
    <w:p/>
    <w:p>
      <w:pPr>
        <w:pStyle w:val="Heading2"/>
      </w:pPr>
      <w:r>
        <w:t>Objective</w:t>
      </w:r>
    </w:p>
    <w:p>
      <w:r>
        <w:t>Establish how Top Management demonstrates leadership and commitment to the AS9110 QMS, including promotion of product safety and airworthiness in maintenance activities.</w:t>
      </w:r>
    </w:p>
    <w:p>
      <w:pPr>
        <w:pStyle w:val="Heading2"/>
      </w:pPr>
      <w:r>
        <w:t>Applicability</w:t>
      </w:r>
    </w:p>
    <w:p>
      <w:r>
        <w:t>Applies to Top Management and Process Owners across all maintenance and support functions.</w:t>
      </w:r>
    </w:p>
    <w:p>
      <w:pPr>
        <w:pStyle w:val="Heading2"/>
      </w:pPr>
      <w:r>
        <w:t>Responsibilities &amp; Authorities</w:t>
      </w:r>
    </w:p>
    <w:p>
      <w:r>
        <w:t>Top Management is accountable for QMS effectiveness. The [Accountable Manager] ensures resources are available, promotes the process approach and risk-based thinking, and supports independent verification activities. The [Quality Manager] reports on QMS performance, including maintenance nonconformities and release-to-service metrics.</w:t>
      </w:r>
    </w:p>
    <w:p>
      <w:pPr>
        <w:pStyle w:val="Heading2"/>
      </w:pPr>
      <w:r>
        <w:t>Process</w:t>
      </w:r>
    </w:p>
    <w:p>
      <w:pPr>
        <w:pStyle w:val="Heading3"/>
      </w:pPr>
      <w:r>
        <w:t>Leadership Actions</w:t>
      </w:r>
    </w:p>
    <w:p>
      <w:r>
        <w:t>Communicate the importance of meeting customer, regulatory, and internal requirements related to maintenance.</w:t>
      </w:r>
    </w:p>
    <w:p>
      <w:r>
        <w:t>Ensure integration of QMS requirements into business processes and maintenance planning.</w:t>
      </w:r>
    </w:p>
    <w:p>
      <w:r>
        <w:t>Promote product safety, human factors awareness, and the use of current maintenance data.</w:t>
      </w:r>
    </w:p>
    <w:p>
      <w:pPr>
        <w:pStyle w:val="Heading3"/>
      </w:pPr>
      <w:r>
        <w:t>Policy &amp; Objectives</w:t>
      </w:r>
    </w:p>
    <w:p>
      <w:r>
        <w:t>Establish, review, and maintain a Quality Policy aligned with maintenance activities and compliance obligations.</w:t>
      </w:r>
    </w:p>
    <w:p>
      <w:r>
        <w:t>Set measurable quality objectives (e.g., RtS right-first-time, audit NC reduction).</w:t>
      </w:r>
    </w:p>
    <w:p>
      <w:pPr>
        <w:pStyle w:val="Heading3"/>
      </w:pPr>
      <w:r>
        <w:t>Organizational Roles &amp; Authorities</w:t>
      </w:r>
    </w:p>
    <w:p>
      <w:r>
        <w:t>Define and communicate roles, responsibilities, and authorities in [A-500-002 Responsibility &amp; Authority Matrix].</w:t>
      </w:r>
    </w:p>
    <w:p>
      <w:r>
        <w:t>Ensure independence of inspection and certification activities where required.</w:t>
      </w:r>
    </w:p>
    <w:p>
      <w:pPr>
        <w:pStyle w:val="Heading2"/>
      </w:pPr>
      <w:r>
        <w:t>Opportunities &amp; Risks</w:t>
      </w:r>
    </w:p>
    <w:p>
      <w:r>
        <w:t>Lack of leadership focus on maintenance compliance could result in release errors or regulatory findings.</w:t>
      </w:r>
    </w:p>
    <w:p>
      <w:pPr>
        <w:pStyle w:val="Heading2"/>
      </w:pPr>
      <w:r>
        <w:t>References</w:t>
      </w:r>
    </w:p>
    <w:p>
      <w:r>
        <w:t>AS9110 (current rev.)</w:t>
      </w:r>
    </w:p>
    <w:p>
      <w:r>
        <w:t>[Quality Policy]</w:t>
      </w:r>
    </w:p>
    <w:p>
      <w:r>
        <w:t>[A-500-002 Responsibility &amp; Authority Matrix]</w:t>
      </w:r>
    </w:p>
    <w:p>
      <w:pPr>
        <w:pStyle w:val="Heading2"/>
      </w:pPr>
      <w:r>
        <w:t>Definitions &amp; Acronyms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 / Acronym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Quality Policy</w:t>
            </w:r>
          </w:p>
        </w:tc>
        <w:tc>
          <w:tcPr>
            <w:tcW w:type="dxa" w:w="4320"/>
          </w:tcPr>
          <w:p>
            <w:r>
              <w:t>Management statement of intent and direction for the QMS.</w:t>
            </w:r>
          </w:p>
        </w:tc>
      </w:tr>
      <w:tr>
        <w:tc>
          <w:tcPr>
            <w:tcW w:type="dxa" w:w="4320"/>
          </w:tcPr>
          <w:p>
            <w:r>
              <w:t>Airworthiness</w:t>
            </w:r>
          </w:p>
        </w:tc>
        <w:tc>
          <w:tcPr>
            <w:tcW w:type="dxa" w:w="4320"/>
          </w:tcPr>
          <w:p>
            <w:r>
              <w:t>Condition in which an aircraft or component meets its approved design and is in a condition for safe operation.</w:t>
            </w:r>
          </w:p>
        </w:tc>
      </w:tr>
    </w:tbl>
    <w:p/>
    <w:p>
      <w:pPr>
        <w:pStyle w:val="Heading2"/>
      </w:pPr>
      <w:r>
        <w:t>Documented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Record / Doc</w:t>
            </w:r>
          </w:p>
        </w:tc>
        <w:tc>
          <w:tcPr>
            <w:tcW w:type="dxa" w:w="2880"/>
          </w:tcPr>
          <w:p>
            <w:r>
              <w:t>Retention / Location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Quality Policy</w:t>
            </w:r>
          </w:p>
        </w:tc>
        <w:tc>
          <w:tcPr>
            <w:tcW w:type="dxa" w:w="2880"/>
          </w:tcPr>
          <w:p>
            <w:r>
              <w:t>Retain per Category A / QMS Repository</w:t>
            </w:r>
          </w:p>
        </w:tc>
        <w:tc>
          <w:tcPr>
            <w:tcW w:type="dxa" w:w="2880"/>
          </w:tcPr>
          <w:p>
            <w:r>
              <w:t>Top Management</w:t>
            </w:r>
          </w:p>
        </w:tc>
      </w:tr>
      <w:tr>
        <w:tc>
          <w:tcPr>
            <w:tcW w:type="dxa" w:w="2880"/>
          </w:tcPr>
          <w:p>
            <w:r>
              <w:t>Quality Objectives</w:t>
            </w:r>
          </w:p>
        </w:tc>
        <w:tc>
          <w:tcPr>
            <w:tcW w:type="dxa" w:w="2880"/>
          </w:tcPr>
          <w:p>
            <w:r>
              <w:t>Retain per Category B / QMS Repository</w:t>
            </w:r>
          </w:p>
        </w:tc>
        <w:tc>
          <w:tcPr>
            <w:tcW w:type="dxa" w:w="2880"/>
          </w:tcPr>
          <w:p>
            <w:r>
              <w:t>Quality Manager</w:t>
            </w:r>
          </w:p>
        </w:tc>
      </w:tr>
    </w:tbl>
    <w:p/>
    <w:p>
      <w:pPr>
        <w:pStyle w:val="Heading2"/>
      </w:pPr>
      <w:r>
        <w:t>AS9110 Change Log (vs. AS9100 Baseline)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Clause(s)</w:t>
            </w:r>
          </w:p>
        </w:tc>
        <w:tc>
          <w:tcPr>
            <w:tcW w:type="dxa" w:w="2160"/>
          </w:tcPr>
          <w:p>
            <w:r>
              <w:t>AS9100 Baseline (summary)</w:t>
            </w:r>
          </w:p>
        </w:tc>
        <w:tc>
          <w:tcPr>
            <w:tcW w:type="dxa" w:w="2160"/>
          </w:tcPr>
          <w:p>
            <w:r>
              <w:t>AS9110 Modification</w:t>
            </w:r>
          </w:p>
        </w:tc>
        <w:tc>
          <w:tcPr>
            <w:tcW w:type="dxa" w:w="2160"/>
          </w:tcPr>
          <w:p>
            <w:r>
              <w:t>Reason / Notes</w:t>
            </w:r>
          </w:p>
        </w:tc>
      </w:tr>
      <w:tr>
        <w:tc>
          <w:tcPr>
            <w:tcW w:type="dxa" w:w="2160"/>
          </w:tcPr>
          <w:p>
            <w:r>
              <w:t>5.1, 5.1.1, 5.3</w:t>
            </w:r>
          </w:p>
        </w:tc>
        <w:tc>
          <w:tcPr>
            <w:tcW w:type="dxa" w:w="2160"/>
          </w:tcPr>
          <w:p>
            <w:r>
              <w:t>AS9100 leadership for design/production</w:t>
            </w:r>
          </w:p>
        </w:tc>
        <w:tc>
          <w:tcPr>
            <w:tcW w:type="dxa" w:w="2160"/>
          </w:tcPr>
          <w:p>
            <w:r>
              <w:t>Emphasized RtS, independence of inspection, and human factors leadership messaging.</w:t>
            </w:r>
          </w:p>
        </w:tc>
        <w:tc>
          <w:tcPr>
            <w:tcW w:type="dxa" w:w="2160"/>
          </w:tcPr>
          <w:p>
            <w:r>
              <w:t>Aligns leadership with maintenance-specific safety outcomes.</w:t>
            </w:r>
          </w:p>
        </w:tc>
      </w:tr>
    </w:tbl>
    <w:p/>
    <w:p>
      <w:pPr>
        <w:pStyle w:val="Heading2"/>
      </w:pPr>
      <w:r>
        <w:t>AS9110 Compliance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Clause</w:t>
            </w:r>
          </w:p>
        </w:tc>
        <w:tc>
          <w:tcPr>
            <w:tcW w:type="dxa" w:w="2880"/>
          </w:tcPr>
          <w:p>
            <w:r>
              <w:t>Requirement (AS9110)</w:t>
            </w:r>
          </w:p>
        </w:tc>
        <w:tc>
          <w:tcPr>
            <w:tcW w:type="dxa" w:w="2880"/>
          </w:tcPr>
          <w:p>
            <w:r>
              <w:t>Addressed in Section</w:t>
            </w:r>
          </w:p>
        </w:tc>
      </w:tr>
      <w:tr>
        <w:tc>
          <w:tcPr>
            <w:tcW w:type="dxa" w:w="2880"/>
          </w:tcPr>
          <w:p>
            <w:r>
              <w:t>5.1.1</w:t>
            </w:r>
          </w:p>
        </w:tc>
        <w:tc>
          <w:tcPr>
            <w:tcW w:type="dxa" w:w="2880"/>
          </w:tcPr>
          <w:p>
            <w:r>
              <w:t>Leadership demonstrating commitment to QMS.</w:t>
            </w:r>
          </w:p>
        </w:tc>
        <w:tc>
          <w:tcPr>
            <w:tcW w:type="dxa" w:w="2880"/>
          </w:tcPr>
          <w:p>
            <w:r>
              <w:t>Leadership Actions</w:t>
            </w:r>
          </w:p>
        </w:tc>
      </w:tr>
      <w:tr>
        <w:tc>
          <w:tcPr>
            <w:tcW w:type="dxa" w:w="2880"/>
          </w:tcPr>
          <w:p>
            <w:r>
              <w:t>5.3</w:t>
            </w:r>
          </w:p>
        </w:tc>
        <w:tc>
          <w:tcPr>
            <w:tcW w:type="dxa" w:w="2880"/>
          </w:tcPr>
          <w:p>
            <w:r>
              <w:t>Roles and authorities defined and communicated.</w:t>
            </w:r>
          </w:p>
        </w:tc>
        <w:tc>
          <w:tcPr>
            <w:tcW w:type="dxa" w:w="2880"/>
          </w:tcPr>
          <w:p>
            <w:r>
              <w:t>Organizational Roles &amp; Authorities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 of Change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2025-08-12</w:t>
            </w:r>
          </w:p>
        </w:tc>
        <w:tc>
          <w:tcPr>
            <w:tcW w:type="dxa" w:w="2160"/>
          </w:tcPr>
          <w:p>
            <w:r>
              <w:t>AS9110 adaptation to maintenance leadership.</w:t>
            </w:r>
          </w:p>
        </w:tc>
        <w:tc>
          <w:tcPr>
            <w:tcW w:type="dxa" w:w="2160"/>
          </w:tcPr>
          <w:p>
            <w:r>
              <w:t>OQCQMS (Conform-Edge)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 w:val="0"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