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[Logo]</w:t>
            </w:r>
          </w:p>
        </w:tc>
        <w:tc>
          <w:tcPr>
            <w:tcW w:type="dxa" w:w="2160"/>
          </w:tcPr>
          <w:p>
            <w:r>
              <w:t>[the Organization]</w:t>
            </w:r>
          </w:p>
        </w:tc>
        <w:tc>
          <w:tcPr>
            <w:tcW w:type="dxa" w:w="2160"/>
          </w:tcPr>
          <w:p>
            <w:r>
              <w:t>Document Number</w:t>
            </w:r>
          </w:p>
        </w:tc>
        <w:tc>
          <w:tcPr>
            <w:tcW w:type="dxa" w:w="2160"/>
          </w:tcPr>
          <w:p>
            <w:r>
              <w:t>WI-720-002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Evaluating Training Effectiveness</w:t>
            </w:r>
          </w:p>
        </w:tc>
        <w:tc>
          <w:tcPr>
            <w:tcW w:type="dxa" w:w="2160"/>
          </w:tcPr>
          <w:p>
            <w:r>
              <w:t>Revision</w:t>
            </w:r>
          </w:p>
        </w:tc>
        <w:tc>
          <w:tcPr>
            <w:tcW w:type="dxa" w:w="2160"/>
          </w:tcPr>
          <w:p>
            <w:r>
              <w:t>Rev A</w:t>
            </w:r>
          </w:p>
        </w:tc>
      </w:tr>
    </w:tbl>
    <w:p/>
    <w:p>
      <w:pPr>
        <w:pStyle w:val="Heading2"/>
      </w:pPr>
      <w:r>
        <w:t>Objective</w:t>
      </w:r>
    </w:p>
    <w:p>
      <w:r>
        <w:t>Provide a consistent method to evaluate the effectiveness of training for maintenance personnel, including OJT and continuation training, under AS9110.</w:t>
      </w:r>
    </w:p>
    <w:p>
      <w:pPr>
        <w:pStyle w:val="Heading2"/>
      </w:pPr>
      <w:r>
        <w:t>Applicability</w:t>
      </w:r>
    </w:p>
    <w:p>
      <w:r>
        <w:t>Applies to all training events and authorizations in maintenance and support functions.</w:t>
      </w:r>
    </w:p>
    <w:p>
      <w:pPr>
        <w:pStyle w:val="Heading2"/>
      </w:pPr>
      <w:r>
        <w:t>Responsibilities &amp; Authorities</w:t>
      </w:r>
    </w:p>
    <w:p>
      <w:r>
        <w:t>The [Training Coordinator] schedules evaluations; the [Quality Manager] reviews outcomes and trends; supervisors perform OJT assessments.</w:t>
      </w:r>
    </w:p>
    <w:p>
      <w:pPr>
        <w:pStyle w:val="Heading2"/>
      </w:pPr>
      <w:r>
        <w:t>Process</w:t>
      </w:r>
    </w:p>
    <w:p>
      <w:pPr>
        <w:pStyle w:val="Heading3"/>
      </w:pPr>
      <w:r>
        <w:t>Plan the Evaluation</w:t>
      </w:r>
    </w:p>
    <w:p>
      <w:r>
        <w:t>For each training event, define evaluation methods: knowledge check, practical demonstration, supervisor sign-off, and audit sampling.</w:t>
      </w:r>
    </w:p>
    <w:p>
      <w:r>
        <w:t>Set acceptance criteria and evidence to collect.</w:t>
      </w:r>
    </w:p>
    <w:p>
      <w:pPr>
        <w:pStyle w:val="Heading3"/>
      </w:pPr>
      <w:r>
        <w:t>Conduct the Evaluation</w:t>
      </w:r>
    </w:p>
    <w:p>
      <w:r>
        <w:t>Use checklists to observe task performance and verify correct use of maintenance data and tooling.</w:t>
      </w:r>
    </w:p>
    <w:p>
      <w:r>
        <w:t>Document outcomes and corrective actions when criteria are not met.</w:t>
      </w:r>
    </w:p>
    <w:p>
      <w:pPr>
        <w:pStyle w:val="Heading3"/>
      </w:pPr>
      <w:r>
        <w:t>Measure &amp; Trend</w:t>
      </w:r>
    </w:p>
    <w:p>
      <w:r>
        <w:t>Track evaluation results, audit findings linked to training, and authorization decisions; trend for improvement.</w:t>
      </w:r>
    </w:p>
    <w:p>
      <w:pPr>
        <w:pStyle w:val="Heading3"/>
      </w:pPr>
      <w:r>
        <w:t>Re-Qualification</w:t>
      </w:r>
    </w:p>
    <w:p>
      <w:r>
        <w:t>Trigger re-training or re-authorization when performance or currency degrades below acceptance criteria.</w:t>
      </w:r>
    </w:p>
    <w:p>
      <w:pPr>
        <w:pStyle w:val="Heading2"/>
      </w:pPr>
      <w:r>
        <w:t>Opportunities &amp; Risks</w:t>
      </w:r>
    </w:p>
    <w:p>
      <w:r>
        <w:t>Ineffective training may not change behavior, risking maintenance quality and compliance.</w:t>
      </w:r>
    </w:p>
    <w:p>
      <w:pPr>
        <w:pStyle w:val="Heading2"/>
      </w:pPr>
      <w:r>
        <w:t>References</w:t>
      </w:r>
    </w:p>
    <w:p>
      <w:r>
        <w:t>AS9110 (current rev.)</w:t>
      </w:r>
    </w:p>
    <w:p>
      <w:r>
        <w:t>[P-720-01 Competence, Training &amp; Awareness]</w:t>
      </w:r>
    </w:p>
    <w:p>
      <w:pPr>
        <w:pStyle w:val="Heading2"/>
      </w:pPr>
      <w:r>
        <w:t>Definitions &amp; Acronyms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 / Acronym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Knowledge Check</w:t>
            </w:r>
          </w:p>
        </w:tc>
        <w:tc>
          <w:tcPr>
            <w:tcW w:type="dxa" w:w="4320"/>
          </w:tcPr>
          <w:p>
            <w:r>
              <w:t>Short test or interview to confirm understanding.</w:t>
            </w:r>
          </w:p>
        </w:tc>
      </w:tr>
      <w:tr>
        <w:tc>
          <w:tcPr>
            <w:tcW w:type="dxa" w:w="4320"/>
          </w:tcPr>
          <w:p>
            <w:r>
              <w:t>Practical Demonstration</w:t>
            </w:r>
          </w:p>
        </w:tc>
        <w:tc>
          <w:tcPr>
            <w:tcW w:type="dxa" w:w="4320"/>
          </w:tcPr>
          <w:p>
            <w:r>
              <w:t>Observed performance of a task to defined criteria.</w:t>
            </w:r>
          </w:p>
        </w:tc>
      </w:tr>
    </w:tbl>
    <w:p/>
    <w:p>
      <w:pPr>
        <w:pStyle w:val="Heading2"/>
      </w:pPr>
      <w:r>
        <w:t>Documented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Record / Doc</w:t>
            </w:r>
          </w:p>
        </w:tc>
        <w:tc>
          <w:tcPr>
            <w:tcW w:type="dxa" w:w="2880"/>
          </w:tcPr>
          <w:p>
            <w:r>
              <w:t>Retention / Location</w:t>
            </w:r>
          </w:p>
        </w:tc>
        <w:tc>
          <w:tcPr>
            <w:tcW w:type="dxa" w:w="2880"/>
          </w:tcPr>
          <w:p>
            <w:r>
              <w:t>Owner</w:t>
            </w:r>
          </w:p>
        </w:tc>
      </w:tr>
      <w:tr>
        <w:tc>
          <w:tcPr>
            <w:tcW w:type="dxa" w:w="2880"/>
          </w:tcPr>
          <w:p>
            <w:r>
              <w:t>Training Effectiveness Checklists</w:t>
            </w:r>
          </w:p>
        </w:tc>
        <w:tc>
          <w:tcPr>
            <w:tcW w:type="dxa" w:w="2880"/>
          </w:tcPr>
          <w:p>
            <w:r>
              <w:t>Retain per Category B</w:t>
            </w:r>
          </w:p>
        </w:tc>
        <w:tc>
          <w:tcPr>
            <w:tcW w:type="dxa" w:w="2880"/>
          </w:tcPr>
          <w:p>
            <w:r>
              <w:t>Training Coordinator</w:t>
            </w:r>
          </w:p>
        </w:tc>
      </w:tr>
      <w:tr>
        <w:tc>
          <w:tcPr>
            <w:tcW w:type="dxa" w:w="2880"/>
          </w:tcPr>
          <w:p>
            <w:r>
              <w:t>Re-authorization Records</w:t>
            </w:r>
          </w:p>
        </w:tc>
        <w:tc>
          <w:tcPr>
            <w:tcW w:type="dxa" w:w="2880"/>
          </w:tcPr>
          <w:p>
            <w:r>
              <w:t>Retain per Category A</w:t>
            </w:r>
          </w:p>
        </w:tc>
        <w:tc>
          <w:tcPr>
            <w:tcW w:type="dxa" w:w="2880"/>
          </w:tcPr>
          <w:p>
            <w:r>
              <w:t>Quality / Maintenance</w:t>
            </w:r>
          </w:p>
        </w:tc>
      </w:tr>
    </w:tbl>
    <w:p/>
    <w:p>
      <w:pPr>
        <w:pStyle w:val="Heading2"/>
      </w:pPr>
      <w:r>
        <w:t>AS9110 Change Log (vs. AS9100 Baseline)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Clause(s)</w:t>
            </w:r>
          </w:p>
        </w:tc>
        <w:tc>
          <w:tcPr>
            <w:tcW w:type="dxa" w:w="2160"/>
          </w:tcPr>
          <w:p>
            <w:r>
              <w:t>AS9100 Baseline (summary)</w:t>
            </w:r>
          </w:p>
        </w:tc>
        <w:tc>
          <w:tcPr>
            <w:tcW w:type="dxa" w:w="2160"/>
          </w:tcPr>
          <w:p>
            <w:r>
              <w:t>AS9110 Modification</w:t>
            </w:r>
          </w:p>
        </w:tc>
        <w:tc>
          <w:tcPr>
            <w:tcW w:type="dxa" w:w="2160"/>
          </w:tcPr>
          <w:p>
            <w:r>
              <w:t>Reason / Notes</w:t>
            </w:r>
          </w:p>
        </w:tc>
      </w:tr>
      <w:tr>
        <w:tc>
          <w:tcPr>
            <w:tcW w:type="dxa" w:w="2160"/>
          </w:tcPr>
          <w:p>
            <w:r>
              <w:t>7.2</w:t>
            </w:r>
          </w:p>
        </w:tc>
        <w:tc>
          <w:tcPr>
            <w:tcW w:type="dxa" w:w="2160"/>
          </w:tcPr>
          <w:p>
            <w:r>
              <w:t>AS9100 evaluation of training effectiveness</w:t>
            </w:r>
          </w:p>
        </w:tc>
        <w:tc>
          <w:tcPr>
            <w:tcW w:type="dxa" w:w="2160"/>
          </w:tcPr>
          <w:p>
            <w:r>
              <w:t>Added OJT/practical assessment emphasis and link to authorization decisions.</w:t>
            </w:r>
          </w:p>
        </w:tc>
        <w:tc>
          <w:tcPr>
            <w:tcW w:type="dxa" w:w="2160"/>
          </w:tcPr>
          <w:p>
            <w:r>
              <w:t>Tailored to maintenance context.</w:t>
            </w:r>
          </w:p>
        </w:tc>
      </w:tr>
    </w:tbl>
    <w:p/>
    <w:p>
      <w:pPr>
        <w:pStyle w:val="Heading2"/>
      </w:pPr>
      <w:r>
        <w:t>AS9110 Compliance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Clause</w:t>
            </w:r>
          </w:p>
        </w:tc>
        <w:tc>
          <w:tcPr>
            <w:tcW w:type="dxa" w:w="2880"/>
          </w:tcPr>
          <w:p>
            <w:r>
              <w:t>Requirement (AS9110)</w:t>
            </w:r>
          </w:p>
        </w:tc>
        <w:tc>
          <w:tcPr>
            <w:tcW w:type="dxa" w:w="2880"/>
          </w:tcPr>
          <w:p>
            <w:r>
              <w:t>Addressed in Section</w:t>
            </w:r>
          </w:p>
        </w:tc>
      </w:tr>
      <w:tr>
        <w:tc>
          <w:tcPr>
            <w:tcW w:type="dxa" w:w="2880"/>
          </w:tcPr>
          <w:p>
            <w:r>
              <w:t>7.2</w:t>
            </w:r>
          </w:p>
        </w:tc>
        <w:tc>
          <w:tcPr>
            <w:tcW w:type="dxa" w:w="2880"/>
          </w:tcPr>
          <w:p>
            <w:r>
              <w:t>Effectiveness of training evaluated.</w:t>
            </w:r>
          </w:p>
        </w:tc>
        <w:tc>
          <w:tcPr>
            <w:tcW w:type="dxa" w:w="2880"/>
          </w:tcPr>
          <w:p>
            <w:r>
              <w:t>Plan the Evaluation; Conduct the Evaluation; Measure &amp; Trend</w:t>
            </w:r>
          </w:p>
        </w:tc>
      </w:tr>
    </w:tbl>
    <w:p/>
    <w:p>
      <w:pPr>
        <w:pStyle w:val="Heading2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Rev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Description of Change</w:t>
            </w:r>
          </w:p>
        </w:tc>
        <w:tc>
          <w:tcPr>
            <w:tcW w:type="dxa" w:w="2160"/>
          </w:tcPr>
          <w:p>
            <w:r>
              <w:t>Author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2025-08-12</w:t>
            </w:r>
          </w:p>
        </w:tc>
        <w:tc>
          <w:tcPr>
            <w:tcW w:type="dxa" w:w="2160"/>
          </w:tcPr>
          <w:p>
            <w:r>
              <w:t>AS9110 training effectiveness evaluation work instruction.</w:t>
            </w:r>
          </w:p>
        </w:tc>
        <w:tc>
          <w:tcPr>
            <w:tcW w:type="dxa" w:w="2160"/>
          </w:tcPr>
          <w:p>
            <w:r>
              <w:t>OQCQMS (Conform-Edge)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 w:val="0"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