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802A" w14:textId="77777777" w:rsidR="009D08D9" w:rsidRPr="009D08D9" w:rsidRDefault="009D08D9" w:rsidP="002F66BD">
      <w:pPr>
        <w:pStyle w:val="Heading1"/>
      </w:pPr>
      <w:r w:rsidRPr="009D08D9">
        <w:t>Objective</w:t>
      </w:r>
    </w:p>
    <w:p w14:paraId="08FC9969" w14:textId="77777777" w:rsidR="009D08D9" w:rsidRPr="009D08D9" w:rsidRDefault="009D08D9" w:rsidP="009D08D9">
      <w:pPr>
        <w:rPr>
          <w:sz w:val="22"/>
          <w:szCs w:val="22"/>
        </w:rPr>
      </w:pPr>
      <w:r w:rsidRPr="009D08D9">
        <w:rPr>
          <w:sz w:val="22"/>
          <w:szCs w:val="22"/>
        </w:rPr>
        <w:t xml:space="preserve">To help organizations understand and navigate common misunderstandings encountered during AS9100D audits. This guide empowers </w:t>
      </w:r>
      <w:proofErr w:type="gramStart"/>
      <w:r w:rsidRPr="009D08D9">
        <w:rPr>
          <w:sz w:val="22"/>
          <w:szCs w:val="22"/>
        </w:rPr>
        <w:t>users—</w:t>
      </w:r>
      <w:proofErr w:type="gramEnd"/>
      <w:r w:rsidRPr="009D08D9">
        <w:rPr>
          <w:sz w:val="22"/>
          <w:szCs w:val="22"/>
        </w:rPr>
        <w:t>especially those with little to no auditing experience—to avoid incorrect findings, clarify requirements, and respond professionally to auditor overreach.</w:t>
      </w:r>
    </w:p>
    <w:p w14:paraId="5D9615ED" w14:textId="77777777" w:rsidR="009D08D9" w:rsidRPr="009D08D9" w:rsidRDefault="009D08D9" w:rsidP="002F66BD">
      <w:pPr>
        <w:pStyle w:val="Heading1"/>
      </w:pPr>
      <w:r w:rsidRPr="009D08D9">
        <w:t>Purpose</w:t>
      </w:r>
    </w:p>
    <w:p w14:paraId="61D41B8F" w14:textId="77777777" w:rsidR="009D08D9" w:rsidRPr="009D08D9" w:rsidRDefault="009D08D9" w:rsidP="009D08D9">
      <w:pPr>
        <w:rPr>
          <w:sz w:val="22"/>
          <w:szCs w:val="22"/>
        </w:rPr>
      </w:pPr>
      <w:r w:rsidRPr="009D08D9">
        <w:rPr>
          <w:sz w:val="22"/>
          <w:szCs w:val="22"/>
        </w:rPr>
        <w:t>Auditors are expected to assess conformance against the standard, but misunderstandings often arise due to differences in interpretation, auditing style, or assumptions about system maturity. This guide outlines the ten most frequent misinterpretations and offers clear explanations of what’s actually required.</w:t>
      </w:r>
    </w:p>
    <w:p w14:paraId="21321D76" w14:textId="77777777" w:rsidR="009D08D9" w:rsidRPr="009D08D9" w:rsidRDefault="009D08D9" w:rsidP="009D08D9">
      <w:pPr>
        <w:rPr>
          <w:sz w:val="22"/>
          <w:szCs w:val="22"/>
        </w:rPr>
      </w:pPr>
      <w:r w:rsidRPr="009D08D9">
        <w:rPr>
          <w:sz w:val="22"/>
          <w:szCs w:val="22"/>
        </w:rPr>
        <w:t>This document supports</w:t>
      </w:r>
    </w:p>
    <w:p w14:paraId="1AA0E98C" w14:textId="77777777" w:rsidR="009D08D9" w:rsidRPr="009D08D9" w:rsidRDefault="009D08D9" w:rsidP="009D08D9">
      <w:pPr>
        <w:numPr>
          <w:ilvl w:val="0"/>
          <w:numId w:val="4"/>
        </w:numPr>
        <w:rPr>
          <w:sz w:val="22"/>
          <w:szCs w:val="22"/>
        </w:rPr>
      </w:pPr>
      <w:r w:rsidRPr="009D08D9">
        <w:rPr>
          <w:sz w:val="22"/>
          <w:szCs w:val="22"/>
        </w:rPr>
        <w:t>Audit readiness</w:t>
      </w:r>
    </w:p>
    <w:p w14:paraId="2A2C63BF" w14:textId="77777777" w:rsidR="009D08D9" w:rsidRPr="009D08D9" w:rsidRDefault="009D08D9" w:rsidP="009D08D9">
      <w:pPr>
        <w:numPr>
          <w:ilvl w:val="0"/>
          <w:numId w:val="4"/>
        </w:numPr>
        <w:rPr>
          <w:sz w:val="22"/>
          <w:szCs w:val="22"/>
        </w:rPr>
      </w:pPr>
      <w:r w:rsidRPr="009D08D9">
        <w:rPr>
          <w:sz w:val="22"/>
          <w:szCs w:val="22"/>
        </w:rPr>
        <w:t>Corrective action management</w:t>
      </w:r>
    </w:p>
    <w:p w14:paraId="03FB5F98" w14:textId="77777777" w:rsidR="009D08D9" w:rsidRPr="009D08D9" w:rsidRDefault="009D08D9" w:rsidP="009D08D9">
      <w:pPr>
        <w:numPr>
          <w:ilvl w:val="0"/>
          <w:numId w:val="4"/>
        </w:numPr>
        <w:rPr>
          <w:sz w:val="22"/>
          <w:szCs w:val="22"/>
        </w:rPr>
      </w:pPr>
      <w:r w:rsidRPr="009D08D9">
        <w:rPr>
          <w:sz w:val="22"/>
          <w:szCs w:val="22"/>
        </w:rPr>
        <w:t>Internal auditor training</w:t>
      </w:r>
    </w:p>
    <w:p w14:paraId="5D8F0F73" w14:textId="77777777" w:rsidR="009D08D9" w:rsidRPr="009D08D9" w:rsidRDefault="009D08D9" w:rsidP="009D08D9">
      <w:pPr>
        <w:numPr>
          <w:ilvl w:val="0"/>
          <w:numId w:val="4"/>
        </w:numPr>
        <w:rPr>
          <w:sz w:val="22"/>
          <w:szCs w:val="22"/>
        </w:rPr>
      </w:pPr>
      <w:r w:rsidRPr="009D08D9">
        <w:rPr>
          <w:sz w:val="22"/>
          <w:szCs w:val="22"/>
        </w:rPr>
        <w:t>Communication with auditors</w:t>
      </w:r>
    </w:p>
    <w:p w14:paraId="5450A8AF" w14:textId="77777777" w:rsidR="009D08D9" w:rsidRPr="009D08D9" w:rsidRDefault="009D08D9" w:rsidP="002F66BD">
      <w:pPr>
        <w:pStyle w:val="Heading2"/>
      </w:pPr>
      <w:r w:rsidRPr="009D08D9">
        <w:t>1. “You Can’t Exclude Clause 8.3 Unless You Outsource Design”</w:t>
      </w:r>
    </w:p>
    <w:p w14:paraId="35642FB8"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equate “no design” with “must outsource it,” believing that design can only be excluded if another party performs it under your control.</w:t>
      </w:r>
      <w:r w:rsidRPr="009D08D9">
        <w:rPr>
          <w:sz w:val="22"/>
          <w:szCs w:val="22"/>
        </w:rPr>
        <w:br/>
      </w:r>
      <w:r w:rsidRPr="009D08D9">
        <w:rPr>
          <w:b/>
          <w:bCs/>
          <w:sz w:val="22"/>
          <w:szCs w:val="22"/>
        </w:rPr>
        <w:t>Where the organization might misinterpret it:</w:t>
      </w:r>
      <w:r w:rsidRPr="009D08D9">
        <w:rPr>
          <w:sz w:val="22"/>
          <w:szCs w:val="22"/>
        </w:rPr>
        <w:t xml:space="preserve"> Organizations may assume they must include design-related procedures even if they don’t design anything themselves.</w:t>
      </w:r>
      <w:r w:rsidRPr="009D08D9">
        <w:rPr>
          <w:sz w:val="22"/>
          <w:szCs w:val="22"/>
        </w:rPr>
        <w:br/>
      </w:r>
      <w:r w:rsidRPr="009D08D9">
        <w:rPr>
          <w:b/>
          <w:bCs/>
          <w:sz w:val="22"/>
          <w:szCs w:val="22"/>
        </w:rPr>
        <w:t>What the standard says:</w:t>
      </w:r>
      <w:r w:rsidRPr="009D08D9">
        <w:rPr>
          <w:sz w:val="22"/>
          <w:szCs w:val="22"/>
        </w:rPr>
        <w:t xml:space="preserve"> Clause 8.3 can be excluded if the organization has no design responsibility. Accepting customer drawings or specifications does not constitute design.</w:t>
      </w:r>
      <w:r w:rsidRPr="009D08D9">
        <w:rPr>
          <w:sz w:val="22"/>
          <w:szCs w:val="22"/>
        </w:rPr>
        <w:br/>
      </w:r>
      <w:r w:rsidRPr="009D08D9">
        <w:rPr>
          <w:b/>
          <w:bCs/>
          <w:sz w:val="22"/>
          <w:szCs w:val="22"/>
        </w:rPr>
        <w:t>How to respond:</w:t>
      </w:r>
      <w:r w:rsidRPr="009D08D9">
        <w:rPr>
          <w:sz w:val="22"/>
          <w:szCs w:val="22"/>
        </w:rPr>
        <w:t xml:space="preserve"> Point to your Quality Manual’s scope and note the exclusion of Clause 8.3. Show that no procedures or processes perform or control design activities.</w:t>
      </w:r>
    </w:p>
    <w:p w14:paraId="5F878021" w14:textId="77777777" w:rsidR="009D08D9" w:rsidRPr="009D08D9" w:rsidRDefault="009D08D9" w:rsidP="002F66BD">
      <w:pPr>
        <w:pStyle w:val="Heading2"/>
      </w:pPr>
      <w:r w:rsidRPr="009D08D9">
        <w:t>2. “All Procedures Must Be Written as Step-by-Step Instructions”</w:t>
      </w:r>
    </w:p>
    <w:p w14:paraId="6C4B6D78"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expect every document to contain instructions, regardless of the document’s purpose.</w:t>
      </w:r>
      <w:r w:rsidRPr="009D08D9">
        <w:rPr>
          <w:sz w:val="22"/>
          <w:szCs w:val="22"/>
        </w:rPr>
        <w:br/>
      </w:r>
      <w:r w:rsidRPr="009D08D9">
        <w:rPr>
          <w:b/>
          <w:bCs/>
          <w:sz w:val="22"/>
          <w:szCs w:val="22"/>
        </w:rPr>
        <w:t>Where the organization might misinterpret it:</w:t>
      </w:r>
      <w:r w:rsidRPr="009D08D9">
        <w:rPr>
          <w:sz w:val="22"/>
          <w:szCs w:val="22"/>
        </w:rPr>
        <w:t xml:space="preserve"> Teams may mistakenly combine procedure and work instruction content, </w:t>
      </w:r>
      <w:proofErr w:type="gramStart"/>
      <w:r w:rsidRPr="009D08D9">
        <w:rPr>
          <w:sz w:val="22"/>
          <w:szCs w:val="22"/>
        </w:rPr>
        <w:t>losing</w:t>
      </w:r>
      <w:proofErr w:type="gramEnd"/>
      <w:r w:rsidRPr="009D08D9">
        <w:rPr>
          <w:sz w:val="22"/>
          <w:szCs w:val="22"/>
        </w:rPr>
        <w:t xml:space="preserve"> clarity and creating maintenance problems.</w:t>
      </w:r>
      <w:r w:rsidRPr="009D08D9">
        <w:rPr>
          <w:sz w:val="22"/>
          <w:szCs w:val="22"/>
        </w:rPr>
        <w:br/>
      </w:r>
      <w:r w:rsidRPr="009D08D9">
        <w:rPr>
          <w:b/>
          <w:bCs/>
          <w:sz w:val="22"/>
          <w:szCs w:val="22"/>
        </w:rPr>
        <w:t>What the standard says:</w:t>
      </w:r>
      <w:r w:rsidRPr="009D08D9">
        <w:rPr>
          <w:sz w:val="22"/>
          <w:szCs w:val="22"/>
        </w:rPr>
        <w:t xml:space="preserve"> AS9100D does not require procedures to include detailed instructions. Procedures define compliance; work instructions define how tasks are performed.</w:t>
      </w:r>
      <w:r w:rsidRPr="009D08D9">
        <w:rPr>
          <w:sz w:val="22"/>
          <w:szCs w:val="22"/>
        </w:rPr>
        <w:br/>
      </w:r>
      <w:r w:rsidRPr="009D08D9">
        <w:rPr>
          <w:b/>
          <w:bCs/>
          <w:sz w:val="22"/>
          <w:szCs w:val="22"/>
        </w:rPr>
        <w:t>How to respond:</w:t>
      </w:r>
      <w:r w:rsidRPr="009D08D9">
        <w:rPr>
          <w:sz w:val="22"/>
          <w:szCs w:val="22"/>
        </w:rPr>
        <w:t xml:space="preserve"> Show your document hierarchy and explain that procedures (e.g., P-800-01) are supported by work instructions (e.g., WI-800-001). Reference P-750-01 for system structure.</w:t>
      </w:r>
    </w:p>
    <w:p w14:paraId="24B37B9F" w14:textId="77777777" w:rsidR="009D08D9" w:rsidRPr="009D08D9" w:rsidRDefault="009D08D9" w:rsidP="002F66BD">
      <w:pPr>
        <w:pStyle w:val="Heading2"/>
      </w:pPr>
      <w:r w:rsidRPr="009D08D9">
        <w:lastRenderedPageBreak/>
        <w:t>3. “Every Tool Must Be Calibrated”</w:t>
      </w:r>
    </w:p>
    <w:p w14:paraId="149A5350"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assume every item used in production or inspection must appear on a calibration schedule.</w:t>
      </w:r>
      <w:r w:rsidRPr="009D08D9">
        <w:rPr>
          <w:sz w:val="22"/>
          <w:szCs w:val="22"/>
        </w:rPr>
        <w:br/>
      </w:r>
      <w:r w:rsidRPr="009D08D9">
        <w:rPr>
          <w:b/>
          <w:bCs/>
          <w:sz w:val="22"/>
          <w:szCs w:val="22"/>
        </w:rPr>
        <w:t>Where the organization might misinterpret it:</w:t>
      </w:r>
      <w:r w:rsidRPr="009D08D9">
        <w:rPr>
          <w:sz w:val="22"/>
          <w:szCs w:val="22"/>
        </w:rPr>
        <w:t xml:space="preserve"> Organizations may over-control simple tools that have no impact on conformity, wasting time and resources.</w:t>
      </w:r>
      <w:r w:rsidRPr="009D08D9">
        <w:rPr>
          <w:sz w:val="22"/>
          <w:szCs w:val="22"/>
        </w:rPr>
        <w:br/>
      </w:r>
      <w:r w:rsidRPr="009D08D9">
        <w:rPr>
          <w:b/>
          <w:bCs/>
          <w:sz w:val="22"/>
          <w:szCs w:val="22"/>
        </w:rPr>
        <w:t>What the standard says:</w:t>
      </w:r>
      <w:r w:rsidRPr="009D08D9">
        <w:rPr>
          <w:sz w:val="22"/>
          <w:szCs w:val="22"/>
        </w:rPr>
        <w:t xml:space="preserve"> Clause 7.1.5.2 only requires calibration of equipment used to demonstrate product conformity. Non-measuring tools or tools used for setup only do not need to be calibrated.</w:t>
      </w:r>
      <w:r w:rsidRPr="009D08D9">
        <w:rPr>
          <w:sz w:val="22"/>
          <w:szCs w:val="22"/>
        </w:rPr>
        <w:br/>
      </w:r>
      <w:r w:rsidRPr="009D08D9">
        <w:rPr>
          <w:b/>
          <w:bCs/>
          <w:sz w:val="22"/>
          <w:szCs w:val="22"/>
        </w:rPr>
        <w:t>How to respond:</w:t>
      </w:r>
      <w:r w:rsidRPr="009D08D9">
        <w:rPr>
          <w:sz w:val="22"/>
          <w:szCs w:val="22"/>
        </w:rPr>
        <w:t xml:space="preserve"> Reference your calibration criteria in P-712-01 and show your controlled tool list. Explain how you determine which tools impact product quality.</w:t>
      </w:r>
    </w:p>
    <w:p w14:paraId="7F7AE1A6" w14:textId="77777777" w:rsidR="009D08D9" w:rsidRPr="009D08D9" w:rsidRDefault="009D08D9" w:rsidP="002F66BD">
      <w:pPr>
        <w:pStyle w:val="Heading2"/>
      </w:pPr>
      <w:r w:rsidRPr="009D08D9">
        <w:t>4. “Nonconformance Records Must Be Retained for 10 Years”</w:t>
      </w:r>
    </w:p>
    <w:p w14:paraId="282FA959"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Auditors may apply industry or customer-specific retention expectations as if they are part of AS9100D.</w:t>
      </w:r>
      <w:r w:rsidRPr="009D08D9">
        <w:rPr>
          <w:sz w:val="22"/>
          <w:szCs w:val="22"/>
        </w:rPr>
        <w:br/>
      </w:r>
      <w:r w:rsidRPr="009D08D9">
        <w:rPr>
          <w:b/>
          <w:bCs/>
          <w:sz w:val="22"/>
          <w:szCs w:val="22"/>
        </w:rPr>
        <w:t>Where the organization might misinterpret it:</w:t>
      </w:r>
      <w:r w:rsidRPr="009D08D9">
        <w:rPr>
          <w:sz w:val="22"/>
          <w:szCs w:val="22"/>
        </w:rPr>
        <w:t xml:space="preserve"> Teams often default to a 10-year retention policy for all records, even when not needed.</w:t>
      </w:r>
      <w:r w:rsidRPr="009D08D9">
        <w:rPr>
          <w:sz w:val="22"/>
          <w:szCs w:val="22"/>
        </w:rPr>
        <w:br/>
      </w:r>
      <w:r w:rsidRPr="009D08D9">
        <w:rPr>
          <w:b/>
          <w:bCs/>
          <w:sz w:val="22"/>
          <w:szCs w:val="22"/>
        </w:rPr>
        <w:t>What the standard says:</w:t>
      </w:r>
      <w:r w:rsidRPr="009D08D9">
        <w:rPr>
          <w:sz w:val="22"/>
          <w:szCs w:val="22"/>
        </w:rPr>
        <w:t xml:space="preserve"> Clause 7.5.3.2 requires that records be retained for a period determined by the organization, based on need and applicable requirements.</w:t>
      </w:r>
      <w:r w:rsidRPr="009D08D9">
        <w:rPr>
          <w:sz w:val="22"/>
          <w:szCs w:val="22"/>
        </w:rPr>
        <w:br/>
      </w:r>
      <w:r w:rsidRPr="009D08D9">
        <w:rPr>
          <w:b/>
          <w:bCs/>
          <w:sz w:val="22"/>
          <w:szCs w:val="22"/>
        </w:rPr>
        <w:t>How to respond:</w:t>
      </w:r>
      <w:r w:rsidRPr="009D08D9">
        <w:rPr>
          <w:sz w:val="22"/>
          <w:szCs w:val="22"/>
        </w:rPr>
        <w:t xml:space="preserve"> Show your retention matrix (typically included in P-750-01 or its appendix) and explain how categories (A, B, C) define your policy.</w:t>
      </w:r>
    </w:p>
    <w:p w14:paraId="4780818A" w14:textId="77777777" w:rsidR="009D08D9" w:rsidRPr="009D08D9" w:rsidRDefault="009D08D9" w:rsidP="002F66BD">
      <w:pPr>
        <w:pStyle w:val="Heading2"/>
      </w:pPr>
      <w:r w:rsidRPr="009D08D9">
        <w:t>5. “Every Department Must Be Audited Annually”</w:t>
      </w:r>
    </w:p>
    <w:p w14:paraId="27F66C8B"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Auditors sometimes apply legacy ISO 9001 or internal QMS models to AS9100D, expecting each department to be audited every year.</w:t>
      </w:r>
      <w:r w:rsidRPr="009D08D9">
        <w:rPr>
          <w:sz w:val="22"/>
          <w:szCs w:val="22"/>
        </w:rPr>
        <w:br/>
      </w:r>
      <w:r w:rsidRPr="009D08D9">
        <w:rPr>
          <w:b/>
          <w:bCs/>
          <w:sz w:val="22"/>
          <w:szCs w:val="22"/>
        </w:rPr>
        <w:t>Where the organization might misinterpret it:</w:t>
      </w:r>
      <w:r w:rsidRPr="009D08D9">
        <w:rPr>
          <w:sz w:val="22"/>
          <w:szCs w:val="22"/>
        </w:rPr>
        <w:t xml:space="preserve"> Teams may structure their audit program around departments, rather than QMS processes and risk.</w:t>
      </w:r>
      <w:r w:rsidRPr="009D08D9">
        <w:rPr>
          <w:sz w:val="22"/>
          <w:szCs w:val="22"/>
        </w:rPr>
        <w:br/>
      </w:r>
      <w:r w:rsidRPr="009D08D9">
        <w:rPr>
          <w:b/>
          <w:bCs/>
          <w:sz w:val="22"/>
          <w:szCs w:val="22"/>
        </w:rPr>
        <w:t>What the standard says:</w:t>
      </w:r>
      <w:r w:rsidRPr="009D08D9">
        <w:rPr>
          <w:sz w:val="22"/>
          <w:szCs w:val="22"/>
        </w:rPr>
        <w:t xml:space="preserve"> Clause 9.2 requires that internal audits be conducted based on process performance, risk, and changes. Departmental auditing is not required.</w:t>
      </w:r>
      <w:r w:rsidRPr="009D08D9">
        <w:rPr>
          <w:sz w:val="22"/>
          <w:szCs w:val="22"/>
        </w:rPr>
        <w:br/>
      </w:r>
      <w:r w:rsidRPr="009D08D9">
        <w:rPr>
          <w:b/>
          <w:bCs/>
          <w:sz w:val="22"/>
          <w:szCs w:val="22"/>
        </w:rPr>
        <w:t>How to respond:</w:t>
      </w:r>
      <w:r w:rsidRPr="009D08D9">
        <w:rPr>
          <w:sz w:val="22"/>
          <w:szCs w:val="22"/>
        </w:rPr>
        <w:t xml:space="preserve"> Provide your internal audit schedule and show that it covers QMS processes based on their status and importance—not department names.</w:t>
      </w:r>
    </w:p>
    <w:p w14:paraId="33AEC911" w14:textId="77777777" w:rsidR="009D08D9" w:rsidRPr="009D08D9" w:rsidRDefault="009D08D9" w:rsidP="002F66BD">
      <w:pPr>
        <w:pStyle w:val="Heading2"/>
      </w:pPr>
      <w:r w:rsidRPr="009D08D9">
        <w:t>6. “Management Review Must Be Held Quarterly”</w:t>
      </w:r>
    </w:p>
    <w:p w14:paraId="53647055"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carry over expectations from large organizations or industry-specific schedules.</w:t>
      </w:r>
      <w:r w:rsidRPr="009D08D9">
        <w:rPr>
          <w:sz w:val="22"/>
          <w:szCs w:val="22"/>
        </w:rPr>
        <w:br/>
      </w:r>
      <w:r w:rsidRPr="009D08D9">
        <w:rPr>
          <w:b/>
          <w:bCs/>
          <w:sz w:val="22"/>
          <w:szCs w:val="22"/>
        </w:rPr>
        <w:t>Where the organization might misinterpret it:</w:t>
      </w:r>
      <w:r w:rsidRPr="009D08D9">
        <w:rPr>
          <w:sz w:val="22"/>
          <w:szCs w:val="22"/>
        </w:rPr>
        <w:t xml:space="preserve"> Teams may believe they are out of compliance if they don’t meet quarterly, even if an annual review is more appropriate.</w:t>
      </w:r>
      <w:r w:rsidRPr="009D08D9">
        <w:rPr>
          <w:sz w:val="22"/>
          <w:szCs w:val="22"/>
        </w:rPr>
        <w:br/>
      </w:r>
      <w:r w:rsidRPr="009D08D9">
        <w:rPr>
          <w:b/>
          <w:bCs/>
          <w:sz w:val="22"/>
          <w:szCs w:val="22"/>
        </w:rPr>
        <w:t>What the standard says:</w:t>
      </w:r>
      <w:r w:rsidRPr="009D08D9">
        <w:rPr>
          <w:sz w:val="22"/>
          <w:szCs w:val="22"/>
        </w:rPr>
        <w:t xml:space="preserve"> Clause 9.3 requires that management review occur at planned intervals. It does not mandate quarterly reviews.</w:t>
      </w:r>
      <w:r w:rsidRPr="009D08D9">
        <w:rPr>
          <w:sz w:val="22"/>
          <w:szCs w:val="22"/>
        </w:rPr>
        <w:br/>
      </w:r>
      <w:r w:rsidRPr="009D08D9">
        <w:rPr>
          <w:b/>
          <w:bCs/>
          <w:sz w:val="22"/>
          <w:szCs w:val="22"/>
        </w:rPr>
        <w:t>How to respond:</w:t>
      </w:r>
      <w:r w:rsidRPr="009D08D9">
        <w:rPr>
          <w:sz w:val="22"/>
          <w:szCs w:val="22"/>
        </w:rPr>
        <w:t xml:space="preserve"> Show your review schedule (e.g., annual) and meeting records. Confirm that all required inputs and outputs from the standard were covered.</w:t>
      </w:r>
    </w:p>
    <w:p w14:paraId="4F3660F1" w14:textId="77777777" w:rsidR="009D08D9" w:rsidRPr="009D08D9" w:rsidRDefault="009D08D9" w:rsidP="002F66BD">
      <w:pPr>
        <w:pStyle w:val="Heading2"/>
      </w:pPr>
      <w:r w:rsidRPr="009D08D9">
        <w:lastRenderedPageBreak/>
        <w:t>7. “Corrective Actions Must Use 5-Whys or Fishbone Diagrams”</w:t>
      </w:r>
    </w:p>
    <w:p w14:paraId="7431E540"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are trained to expect structured RCA tools and may assume their use is required.</w:t>
      </w:r>
      <w:r w:rsidRPr="009D08D9">
        <w:rPr>
          <w:sz w:val="22"/>
          <w:szCs w:val="22"/>
        </w:rPr>
        <w:br/>
      </w:r>
      <w:r w:rsidRPr="009D08D9">
        <w:rPr>
          <w:b/>
          <w:bCs/>
          <w:sz w:val="22"/>
          <w:szCs w:val="22"/>
        </w:rPr>
        <w:t>Where the organization might misinterpret it:</w:t>
      </w:r>
      <w:r w:rsidRPr="009D08D9">
        <w:rPr>
          <w:sz w:val="22"/>
          <w:szCs w:val="22"/>
        </w:rPr>
        <w:t xml:space="preserve"> Teams may waste time forcing corrective actions into tools that don’t suit the problem being addressed.</w:t>
      </w:r>
      <w:r w:rsidRPr="009D08D9">
        <w:rPr>
          <w:sz w:val="22"/>
          <w:szCs w:val="22"/>
        </w:rPr>
        <w:br/>
      </w:r>
      <w:r w:rsidRPr="009D08D9">
        <w:rPr>
          <w:b/>
          <w:bCs/>
          <w:sz w:val="22"/>
          <w:szCs w:val="22"/>
        </w:rPr>
        <w:t>What the standard says:</w:t>
      </w:r>
      <w:r w:rsidRPr="009D08D9">
        <w:rPr>
          <w:sz w:val="22"/>
          <w:szCs w:val="22"/>
        </w:rPr>
        <w:t xml:space="preserve"> Clause 10.2 requires that root cause be determined, but the method is not specified. Effectiveness matters more than format.</w:t>
      </w:r>
      <w:r w:rsidRPr="009D08D9">
        <w:rPr>
          <w:sz w:val="22"/>
          <w:szCs w:val="22"/>
        </w:rPr>
        <w:br/>
      </w:r>
      <w:r w:rsidRPr="009D08D9">
        <w:rPr>
          <w:b/>
          <w:bCs/>
          <w:sz w:val="22"/>
          <w:szCs w:val="22"/>
        </w:rPr>
        <w:t>How to respond:</w:t>
      </w:r>
      <w:r w:rsidRPr="009D08D9">
        <w:rPr>
          <w:sz w:val="22"/>
          <w:szCs w:val="22"/>
        </w:rPr>
        <w:t xml:space="preserve"> Show your CAR form (e.g., F-1020-001) and explain your internal method. Demonstrate that the cause was identified and corrected, even without using formal RCA diagrams.</w:t>
      </w:r>
    </w:p>
    <w:p w14:paraId="3934B113" w14:textId="77777777" w:rsidR="009D08D9" w:rsidRPr="009D08D9" w:rsidRDefault="009D08D9" w:rsidP="002F66BD">
      <w:pPr>
        <w:pStyle w:val="Heading2"/>
      </w:pPr>
      <w:r w:rsidRPr="009D08D9">
        <w:t>8. “Spreadsheets Cannot Be Used to Control Forms”</w:t>
      </w:r>
    </w:p>
    <w:p w14:paraId="357A043D"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equate spreadsheets with uncontrolled data due to file copying or lack of metadata.</w:t>
      </w:r>
      <w:r w:rsidRPr="009D08D9">
        <w:rPr>
          <w:sz w:val="22"/>
          <w:szCs w:val="22"/>
        </w:rPr>
        <w:br/>
      </w:r>
      <w:r w:rsidRPr="009D08D9">
        <w:rPr>
          <w:b/>
          <w:bCs/>
          <w:sz w:val="22"/>
          <w:szCs w:val="22"/>
        </w:rPr>
        <w:t>Where the organization might misinterpret it:</w:t>
      </w:r>
      <w:r w:rsidRPr="009D08D9">
        <w:rPr>
          <w:sz w:val="22"/>
          <w:szCs w:val="22"/>
        </w:rPr>
        <w:t xml:space="preserve"> Teams may avoid using spreadsheets entirely or duplicate control systems unnecessarily.</w:t>
      </w:r>
      <w:r w:rsidRPr="009D08D9">
        <w:rPr>
          <w:sz w:val="22"/>
          <w:szCs w:val="22"/>
        </w:rPr>
        <w:br/>
      </w:r>
      <w:r w:rsidRPr="009D08D9">
        <w:rPr>
          <w:b/>
          <w:bCs/>
          <w:sz w:val="22"/>
          <w:szCs w:val="22"/>
        </w:rPr>
        <w:t>What the standard says:</w:t>
      </w:r>
      <w:r w:rsidRPr="009D08D9">
        <w:rPr>
          <w:sz w:val="22"/>
          <w:szCs w:val="22"/>
        </w:rPr>
        <w:t xml:space="preserve"> Clause 7.5 requires documented information to be controlled, regardless of format. Spreadsheets are acceptable if controlled properly.</w:t>
      </w:r>
      <w:r w:rsidRPr="009D08D9">
        <w:rPr>
          <w:sz w:val="22"/>
          <w:szCs w:val="22"/>
        </w:rPr>
        <w:br/>
      </w:r>
      <w:r w:rsidRPr="009D08D9">
        <w:rPr>
          <w:b/>
          <w:bCs/>
          <w:sz w:val="22"/>
          <w:szCs w:val="22"/>
        </w:rPr>
        <w:t>How to respond:</w:t>
      </w:r>
      <w:r w:rsidRPr="009D08D9">
        <w:rPr>
          <w:sz w:val="22"/>
          <w:szCs w:val="22"/>
        </w:rPr>
        <w:t xml:space="preserve"> Show that the spreadsheet form is revision controlled, included in your MDL, and only accessible by authorized users.</w:t>
      </w:r>
    </w:p>
    <w:p w14:paraId="250165F0" w14:textId="77777777" w:rsidR="009D08D9" w:rsidRPr="009D08D9" w:rsidRDefault="009D08D9" w:rsidP="002F66BD">
      <w:pPr>
        <w:pStyle w:val="Heading2"/>
      </w:pPr>
      <w:r w:rsidRPr="009D08D9">
        <w:t>9. “Internal Auditors Must Be Certified”</w:t>
      </w:r>
    </w:p>
    <w:p w14:paraId="41B0707E"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assume that third-party certification is required because it is standard practice in large companies.</w:t>
      </w:r>
      <w:r w:rsidRPr="009D08D9">
        <w:rPr>
          <w:sz w:val="22"/>
          <w:szCs w:val="22"/>
        </w:rPr>
        <w:br/>
      </w:r>
      <w:r w:rsidRPr="009D08D9">
        <w:rPr>
          <w:b/>
          <w:bCs/>
          <w:sz w:val="22"/>
          <w:szCs w:val="22"/>
        </w:rPr>
        <w:t>Where the organization might misinterpret it:</w:t>
      </w:r>
      <w:r w:rsidRPr="009D08D9">
        <w:rPr>
          <w:sz w:val="22"/>
          <w:szCs w:val="22"/>
        </w:rPr>
        <w:t xml:space="preserve"> Organizations may feel they cannot conduct audits unless they pay for external training or certification.</w:t>
      </w:r>
      <w:r w:rsidRPr="009D08D9">
        <w:rPr>
          <w:sz w:val="22"/>
          <w:szCs w:val="22"/>
        </w:rPr>
        <w:br/>
      </w:r>
      <w:r w:rsidRPr="009D08D9">
        <w:rPr>
          <w:b/>
          <w:bCs/>
          <w:sz w:val="22"/>
          <w:szCs w:val="22"/>
        </w:rPr>
        <w:t>What the standard says:</w:t>
      </w:r>
      <w:r w:rsidRPr="009D08D9">
        <w:rPr>
          <w:sz w:val="22"/>
          <w:szCs w:val="22"/>
        </w:rPr>
        <w:t xml:space="preserve"> Clause 9.2 requires that auditors be competent, but certification is not required. Competency may be based on training, experience, or internal evaluation.</w:t>
      </w:r>
      <w:r w:rsidRPr="009D08D9">
        <w:rPr>
          <w:sz w:val="22"/>
          <w:szCs w:val="22"/>
        </w:rPr>
        <w:br/>
      </w:r>
      <w:r w:rsidRPr="009D08D9">
        <w:rPr>
          <w:b/>
          <w:bCs/>
          <w:sz w:val="22"/>
          <w:szCs w:val="22"/>
        </w:rPr>
        <w:t>How to respond:</w:t>
      </w:r>
      <w:r w:rsidRPr="009D08D9">
        <w:rPr>
          <w:sz w:val="22"/>
          <w:szCs w:val="22"/>
        </w:rPr>
        <w:t xml:space="preserve"> Provide evidence of training, supervised audits, or evaluations to demonstrate competence. Show your auditor competency matrix or training log.</w:t>
      </w:r>
    </w:p>
    <w:p w14:paraId="28D8767B" w14:textId="77777777" w:rsidR="009D08D9" w:rsidRPr="009D08D9" w:rsidRDefault="009D08D9" w:rsidP="002F66BD">
      <w:pPr>
        <w:pStyle w:val="Heading2"/>
      </w:pPr>
      <w:r w:rsidRPr="009D08D9">
        <w:t>10. “A Quality Manual Is Required by AS9100”</w:t>
      </w:r>
    </w:p>
    <w:p w14:paraId="134604F5" w14:textId="77777777" w:rsidR="009D08D9" w:rsidRPr="009D08D9" w:rsidRDefault="009D08D9" w:rsidP="009D08D9">
      <w:pPr>
        <w:rPr>
          <w:sz w:val="22"/>
          <w:szCs w:val="22"/>
        </w:rPr>
      </w:pPr>
      <w:r w:rsidRPr="009D08D9">
        <w:rPr>
          <w:b/>
          <w:bCs/>
          <w:sz w:val="22"/>
          <w:szCs w:val="22"/>
        </w:rPr>
        <w:t>Where the misunderstanding comes from (Auditor):</w:t>
      </w:r>
      <w:r w:rsidRPr="009D08D9">
        <w:rPr>
          <w:sz w:val="22"/>
          <w:szCs w:val="22"/>
        </w:rPr>
        <w:t xml:space="preserve"> Some auditors expect a document titled “Quality Manual” due to prior versions of the standard.</w:t>
      </w:r>
      <w:r w:rsidRPr="009D08D9">
        <w:rPr>
          <w:sz w:val="22"/>
          <w:szCs w:val="22"/>
        </w:rPr>
        <w:br/>
      </w:r>
      <w:r w:rsidRPr="009D08D9">
        <w:rPr>
          <w:b/>
          <w:bCs/>
          <w:sz w:val="22"/>
          <w:szCs w:val="22"/>
        </w:rPr>
        <w:t>Where the organization might misinterpret it:</w:t>
      </w:r>
      <w:r w:rsidRPr="009D08D9">
        <w:rPr>
          <w:sz w:val="22"/>
          <w:szCs w:val="22"/>
        </w:rPr>
        <w:t xml:space="preserve"> Teams may believe they’re out of compliance if they do not have a standalone manual, even if their system is documented properly.</w:t>
      </w:r>
      <w:r w:rsidRPr="009D08D9">
        <w:rPr>
          <w:sz w:val="22"/>
          <w:szCs w:val="22"/>
        </w:rPr>
        <w:br/>
      </w:r>
      <w:r w:rsidRPr="009D08D9">
        <w:rPr>
          <w:b/>
          <w:bCs/>
          <w:sz w:val="22"/>
          <w:szCs w:val="22"/>
        </w:rPr>
        <w:t>What the standard says:</w:t>
      </w:r>
      <w:r w:rsidRPr="009D08D9">
        <w:rPr>
          <w:sz w:val="22"/>
          <w:szCs w:val="22"/>
        </w:rPr>
        <w:t xml:space="preserve"> AS9100D requires documentation of the scope, processes, and system. It does not require a document titled “Quality Manual.”</w:t>
      </w:r>
      <w:r w:rsidRPr="009D08D9">
        <w:rPr>
          <w:sz w:val="22"/>
          <w:szCs w:val="22"/>
        </w:rPr>
        <w:br/>
      </w:r>
      <w:r w:rsidRPr="009D08D9">
        <w:rPr>
          <w:b/>
          <w:bCs/>
          <w:sz w:val="22"/>
          <w:szCs w:val="22"/>
        </w:rPr>
        <w:t>How to respond:</w:t>
      </w:r>
      <w:r w:rsidRPr="009D08D9">
        <w:rPr>
          <w:sz w:val="22"/>
          <w:szCs w:val="22"/>
        </w:rPr>
        <w:t xml:space="preserve"> If you use QM-100-01, present it. If not, identify where your scope, interaction of processes, and requirements are documented within your QMS.</w:t>
      </w:r>
    </w:p>
    <w:p w14:paraId="514CF9A3" w14:textId="77777777" w:rsidR="00E719F7" w:rsidRPr="00E719F7" w:rsidRDefault="00E719F7" w:rsidP="00E719F7">
      <w:pPr>
        <w:pStyle w:val="Heading1"/>
      </w:pPr>
      <w:r w:rsidRPr="00E719F7">
        <w:lastRenderedPageBreak/>
        <w:t>How to Use This Guide During Implementation and Audit Preparation</w:t>
      </w:r>
    </w:p>
    <w:p w14:paraId="1111B5B0" w14:textId="77777777" w:rsidR="00E719F7" w:rsidRPr="00E719F7" w:rsidRDefault="00E719F7" w:rsidP="00E719F7">
      <w:pPr>
        <w:rPr>
          <w:sz w:val="22"/>
          <w:szCs w:val="22"/>
        </w:rPr>
      </w:pPr>
      <w:r w:rsidRPr="00E719F7">
        <w:rPr>
          <w:sz w:val="22"/>
          <w:szCs w:val="22"/>
        </w:rPr>
        <w:t>This document should be provided to:</w:t>
      </w:r>
    </w:p>
    <w:p w14:paraId="6F73E1BF" w14:textId="77777777" w:rsidR="00E719F7" w:rsidRPr="00E719F7" w:rsidRDefault="00E719F7" w:rsidP="00E719F7">
      <w:pPr>
        <w:numPr>
          <w:ilvl w:val="0"/>
          <w:numId w:val="5"/>
        </w:numPr>
        <w:rPr>
          <w:sz w:val="22"/>
          <w:szCs w:val="22"/>
        </w:rPr>
      </w:pPr>
      <w:r w:rsidRPr="00E719F7">
        <w:rPr>
          <w:sz w:val="22"/>
          <w:szCs w:val="22"/>
        </w:rPr>
        <w:t>Any team member responsible for internal audits or audit preparation</w:t>
      </w:r>
    </w:p>
    <w:p w14:paraId="4BA86129" w14:textId="77777777" w:rsidR="00E719F7" w:rsidRPr="00E719F7" w:rsidRDefault="00E719F7" w:rsidP="00E719F7">
      <w:pPr>
        <w:numPr>
          <w:ilvl w:val="0"/>
          <w:numId w:val="5"/>
        </w:numPr>
        <w:rPr>
          <w:sz w:val="22"/>
          <w:szCs w:val="22"/>
        </w:rPr>
      </w:pPr>
      <w:r w:rsidRPr="00E719F7">
        <w:rPr>
          <w:sz w:val="22"/>
          <w:szCs w:val="22"/>
        </w:rPr>
        <w:t>New quality managers or process owners unfamiliar with AS9100D interpretation</w:t>
      </w:r>
    </w:p>
    <w:p w14:paraId="15A436A4" w14:textId="77777777" w:rsidR="00E719F7" w:rsidRPr="00E719F7" w:rsidRDefault="00E719F7" w:rsidP="00E719F7">
      <w:pPr>
        <w:numPr>
          <w:ilvl w:val="0"/>
          <w:numId w:val="5"/>
        </w:numPr>
        <w:rPr>
          <w:sz w:val="22"/>
          <w:szCs w:val="22"/>
        </w:rPr>
      </w:pPr>
      <w:r w:rsidRPr="00E719F7">
        <w:rPr>
          <w:sz w:val="22"/>
          <w:szCs w:val="22"/>
        </w:rPr>
        <w:t>Personnel involved in responding to nonconformities or interacting with external auditors</w:t>
      </w:r>
    </w:p>
    <w:p w14:paraId="57D0F5C3" w14:textId="77777777" w:rsidR="00E719F7" w:rsidRPr="00E719F7" w:rsidRDefault="00E719F7" w:rsidP="00E719F7">
      <w:pPr>
        <w:rPr>
          <w:sz w:val="22"/>
          <w:szCs w:val="22"/>
        </w:rPr>
      </w:pPr>
      <w:r w:rsidRPr="00E719F7">
        <w:rPr>
          <w:sz w:val="22"/>
          <w:szCs w:val="22"/>
        </w:rPr>
        <w:t>It is especially helpful:</w:t>
      </w:r>
    </w:p>
    <w:p w14:paraId="06711EEC" w14:textId="77777777" w:rsidR="00E719F7" w:rsidRPr="00E719F7" w:rsidRDefault="00E719F7" w:rsidP="00E719F7">
      <w:pPr>
        <w:numPr>
          <w:ilvl w:val="0"/>
          <w:numId w:val="6"/>
        </w:numPr>
        <w:rPr>
          <w:sz w:val="22"/>
          <w:szCs w:val="22"/>
        </w:rPr>
      </w:pPr>
      <w:r w:rsidRPr="00E719F7">
        <w:rPr>
          <w:sz w:val="22"/>
          <w:szCs w:val="22"/>
        </w:rPr>
        <w:t>Before a certification, surveillance, or customer audit</w:t>
      </w:r>
    </w:p>
    <w:p w14:paraId="3CBBF87C" w14:textId="77777777" w:rsidR="00E719F7" w:rsidRPr="00E719F7" w:rsidRDefault="00E719F7" w:rsidP="00E719F7">
      <w:pPr>
        <w:numPr>
          <w:ilvl w:val="0"/>
          <w:numId w:val="6"/>
        </w:numPr>
        <w:rPr>
          <w:sz w:val="22"/>
          <w:szCs w:val="22"/>
        </w:rPr>
      </w:pPr>
      <w:r w:rsidRPr="00E719F7">
        <w:rPr>
          <w:sz w:val="22"/>
          <w:szCs w:val="22"/>
        </w:rPr>
        <w:t>When preparing responses to audit findings that seem unclear or excessive</w:t>
      </w:r>
    </w:p>
    <w:p w14:paraId="12388218" w14:textId="77777777" w:rsidR="00E719F7" w:rsidRPr="00E719F7" w:rsidRDefault="00E719F7" w:rsidP="00E719F7">
      <w:pPr>
        <w:numPr>
          <w:ilvl w:val="0"/>
          <w:numId w:val="6"/>
        </w:numPr>
        <w:rPr>
          <w:sz w:val="22"/>
          <w:szCs w:val="22"/>
        </w:rPr>
      </w:pPr>
      <w:r w:rsidRPr="00E719F7">
        <w:rPr>
          <w:sz w:val="22"/>
          <w:szCs w:val="22"/>
        </w:rPr>
        <w:t>During the onboarding of new internal auditors or quality staff</w:t>
      </w:r>
    </w:p>
    <w:p w14:paraId="1CE38C6A" w14:textId="77777777" w:rsidR="00E719F7" w:rsidRPr="00E719F7" w:rsidRDefault="00E719F7" w:rsidP="00E719F7">
      <w:pPr>
        <w:pStyle w:val="Heading1"/>
      </w:pPr>
      <w:r w:rsidRPr="00E719F7">
        <w:t>Additional Notes</w:t>
      </w:r>
    </w:p>
    <w:p w14:paraId="608E931A" w14:textId="77777777" w:rsidR="00E719F7" w:rsidRPr="00E719F7" w:rsidRDefault="00E719F7" w:rsidP="00E719F7">
      <w:pPr>
        <w:rPr>
          <w:sz w:val="22"/>
          <w:szCs w:val="22"/>
        </w:rPr>
      </w:pPr>
      <w:r w:rsidRPr="00E719F7">
        <w:rPr>
          <w:sz w:val="22"/>
          <w:szCs w:val="22"/>
        </w:rPr>
        <w:t>This reference is not a substitute for knowledge of the AS9100D standard, but it serves as a tool to help organizations recognize when an audit interpretation may fall outside the actual requirements. When in doubt, review the standard directly and document your position clearly and respectfully.</w:t>
      </w:r>
    </w:p>
    <w:p w14:paraId="58AE290E" w14:textId="77777777" w:rsidR="00E719F7" w:rsidRPr="00E719F7" w:rsidRDefault="00E719F7" w:rsidP="00E719F7">
      <w:pPr>
        <w:rPr>
          <w:sz w:val="22"/>
          <w:szCs w:val="22"/>
        </w:rPr>
      </w:pPr>
      <w:r w:rsidRPr="00E719F7">
        <w:rPr>
          <w:sz w:val="22"/>
          <w:szCs w:val="22"/>
        </w:rPr>
        <w:t>Organizations are encouraged to:</w:t>
      </w:r>
    </w:p>
    <w:p w14:paraId="2C69EB68" w14:textId="77777777" w:rsidR="00E719F7" w:rsidRPr="00E719F7" w:rsidRDefault="00E719F7" w:rsidP="00E719F7">
      <w:pPr>
        <w:numPr>
          <w:ilvl w:val="0"/>
          <w:numId w:val="7"/>
        </w:numPr>
        <w:rPr>
          <w:sz w:val="22"/>
          <w:szCs w:val="22"/>
        </w:rPr>
      </w:pPr>
      <w:r w:rsidRPr="00E719F7">
        <w:rPr>
          <w:sz w:val="22"/>
          <w:szCs w:val="22"/>
        </w:rPr>
        <w:t>Maintain a copy of this document in the implementation reference folder</w:t>
      </w:r>
    </w:p>
    <w:p w14:paraId="7678CF24" w14:textId="77777777" w:rsidR="00E719F7" w:rsidRPr="00E719F7" w:rsidRDefault="00E719F7" w:rsidP="00E719F7">
      <w:pPr>
        <w:numPr>
          <w:ilvl w:val="0"/>
          <w:numId w:val="7"/>
        </w:numPr>
        <w:rPr>
          <w:sz w:val="22"/>
          <w:szCs w:val="22"/>
        </w:rPr>
      </w:pPr>
      <w:r w:rsidRPr="00E719F7">
        <w:rPr>
          <w:sz w:val="22"/>
          <w:szCs w:val="22"/>
        </w:rPr>
        <w:t>Discuss these common misunderstandings during internal auditor training</w:t>
      </w:r>
    </w:p>
    <w:p w14:paraId="13AF9A88" w14:textId="77777777" w:rsidR="00E719F7" w:rsidRPr="00E719F7" w:rsidRDefault="00E719F7" w:rsidP="00E719F7">
      <w:pPr>
        <w:numPr>
          <w:ilvl w:val="0"/>
          <w:numId w:val="7"/>
        </w:numPr>
        <w:rPr>
          <w:sz w:val="22"/>
          <w:szCs w:val="22"/>
        </w:rPr>
      </w:pPr>
      <w:r w:rsidRPr="00E719F7">
        <w:rPr>
          <w:sz w:val="22"/>
          <w:szCs w:val="22"/>
        </w:rPr>
        <w:t>Customize this list to reflect audit issues experienced internally</w:t>
      </w:r>
    </w:p>
    <w:p w14:paraId="4DEAB9CB" w14:textId="033566BC" w:rsidR="004802A8" w:rsidRDefault="004802A8" w:rsidP="004802A8">
      <w:pPr>
        <w:rPr>
          <w:sz w:val="22"/>
          <w:szCs w:val="22"/>
        </w:rPr>
      </w:pPr>
    </w:p>
    <w:p w14:paraId="40E67AF6" w14:textId="77777777" w:rsidR="004802A8" w:rsidRPr="004802A8" w:rsidRDefault="004802A8" w:rsidP="00E719F7">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E719F7">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07F4196E" w14:textId="3A804530" w:rsidR="00BF5B3A" w:rsidRPr="00BF5B3A" w:rsidRDefault="00BF5B3A" w:rsidP="00BF5B3A">
      <w:pPr>
        <w:tabs>
          <w:tab w:val="left" w:pos="1700"/>
        </w:tabs>
        <w:rPr>
          <w:sz w:val="22"/>
          <w:szCs w:val="22"/>
        </w:rPr>
      </w:pPr>
      <w:r>
        <w:rPr>
          <w:sz w:val="22"/>
          <w:szCs w:val="22"/>
        </w:rPr>
        <w:tab/>
      </w:r>
    </w:p>
    <w:sectPr w:rsidR="00BF5B3A" w:rsidRPr="00BF5B3A" w:rsidSect="005A4286">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1EB7A" w14:textId="77777777" w:rsidR="00C705B1" w:rsidRDefault="00C705B1" w:rsidP="00E00A37">
      <w:pPr>
        <w:spacing w:after="0" w:line="240" w:lineRule="auto"/>
      </w:pPr>
      <w:r>
        <w:separator/>
      </w:r>
    </w:p>
  </w:endnote>
  <w:endnote w:type="continuationSeparator" w:id="0">
    <w:p w14:paraId="327BB362" w14:textId="77777777" w:rsidR="00C705B1" w:rsidRDefault="00C705B1"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C13EB" w14:textId="77777777" w:rsidR="00C705B1" w:rsidRDefault="00C705B1" w:rsidP="00E00A37">
      <w:pPr>
        <w:spacing w:after="0" w:line="240" w:lineRule="auto"/>
      </w:pPr>
      <w:r>
        <w:separator/>
      </w:r>
    </w:p>
  </w:footnote>
  <w:footnote w:type="continuationSeparator" w:id="0">
    <w:p w14:paraId="0FB865C3" w14:textId="77777777" w:rsidR="00C705B1" w:rsidRDefault="00C705B1"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9A7753" w:rsidRPr="006A17E5" w14:paraId="79F0CF30" w14:textId="77777777" w:rsidTr="00571041">
      <w:trPr>
        <w:trHeight w:val="800"/>
      </w:trPr>
      <w:tc>
        <w:tcPr>
          <w:tcW w:w="2668" w:type="pct"/>
        </w:tcPr>
        <w:p w14:paraId="3B26AB31" w14:textId="77777777" w:rsidR="009A7753" w:rsidRDefault="009A7753" w:rsidP="009A7753">
          <w:pPr>
            <w:ind w:left="0" w:hanging="2"/>
            <w:jc w:val="center"/>
            <w:rPr>
              <w:rFonts w:eastAsia="Arial"/>
            </w:rPr>
          </w:pPr>
        </w:p>
        <w:p w14:paraId="55824ADF" w14:textId="77777777" w:rsidR="009A7753" w:rsidRDefault="009A7753" w:rsidP="009A7753">
          <w:pPr>
            <w:ind w:left="0" w:hanging="2"/>
            <w:jc w:val="center"/>
            <w:rPr>
              <w:rFonts w:eastAsia="Arial"/>
            </w:rPr>
          </w:pPr>
        </w:p>
        <w:p w14:paraId="027F1F36" w14:textId="77777777" w:rsidR="009A7753" w:rsidRPr="007158A6" w:rsidRDefault="009A7753" w:rsidP="009A7753">
          <w:pPr>
            <w:ind w:left="0" w:hanging="2"/>
            <w:jc w:val="center"/>
            <w:rPr>
              <w:rFonts w:eastAsia="Arial"/>
            </w:rPr>
          </w:pPr>
        </w:p>
      </w:tc>
      <w:tc>
        <w:tcPr>
          <w:tcW w:w="2332" w:type="pct"/>
          <w:gridSpan w:val="4"/>
        </w:tcPr>
        <w:p w14:paraId="61DD180F" w14:textId="42FA8C32" w:rsidR="009A7753" w:rsidRPr="00C130CB" w:rsidRDefault="00C130CB" w:rsidP="009A7753">
          <w:pPr>
            <w:ind w:left="1" w:hanging="3"/>
            <w:jc w:val="center"/>
            <w:rPr>
              <w:rFonts w:eastAsia="Arial"/>
            </w:rPr>
          </w:pPr>
          <w:r w:rsidRPr="00C130CB">
            <w:rPr>
              <w:rFonts w:eastAsia="Arial"/>
              <w:b/>
              <w:bCs/>
              <w:sz w:val="32"/>
              <w:szCs w:val="32"/>
            </w:rPr>
            <w:t>Top 10 QMS Auditor Misunderstandings – Clarified</w:t>
          </w:r>
        </w:p>
      </w:tc>
    </w:tr>
    <w:tr w:rsidR="009A7753" w14:paraId="54D3A7F1" w14:textId="77777777" w:rsidTr="00571041">
      <w:tc>
        <w:tcPr>
          <w:tcW w:w="2667" w:type="pct"/>
        </w:tcPr>
        <w:p w14:paraId="2649702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60288" behindDoc="1" locked="0" layoutInCell="1" allowOverlap="1" wp14:anchorId="56DEB6B2" wp14:editId="3AF12B9F">
                <wp:simplePos x="0" y="0"/>
                <wp:positionH relativeFrom="column">
                  <wp:posOffset>995045</wp:posOffset>
                </wp:positionH>
                <wp:positionV relativeFrom="paragraph">
                  <wp:posOffset>-800611</wp:posOffset>
                </wp:positionV>
                <wp:extent cx="1037230" cy="836651"/>
                <wp:effectExtent l="0" t="0" r="0" b="1905"/>
                <wp:wrapNone/>
                <wp:docPr id="1713131804" name="Picture 1" descr="A logo with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31804" name="Picture 1" descr="A logo with a blu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Pr>
              <w:rFonts w:ascii="Arial" w:eastAsia="Arial" w:hAnsi="Arial" w:cs="Arial"/>
              <w:b/>
              <w:color w:val="000000"/>
            </w:rPr>
            <w:t>Conform-Edge</w:t>
          </w:r>
        </w:p>
      </w:tc>
      <w:tc>
        <w:tcPr>
          <w:tcW w:w="1001" w:type="pct"/>
        </w:tcPr>
        <w:p w14:paraId="6A616568" w14:textId="77777777" w:rsidR="009A7753" w:rsidRDefault="009A7753" w:rsidP="009A7753">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357C38AC" w14:textId="60BE49A2"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w:t>
          </w:r>
          <w:r w:rsidR="00C130CB">
            <w:rPr>
              <w:rFonts w:ascii="Arial" w:eastAsia="Arial" w:hAnsi="Arial" w:cs="Arial"/>
              <w:b/>
              <w:color w:val="000000"/>
            </w:rPr>
            <w:t>12</w:t>
          </w:r>
          <w:r>
            <w:rPr>
              <w:rFonts w:ascii="Arial" w:eastAsia="Arial" w:hAnsi="Arial" w:cs="Arial"/>
              <w:b/>
              <w:color w:val="000000"/>
            </w:rPr>
            <w:t xml:space="preserve"> </w:t>
          </w:r>
        </w:p>
      </w:tc>
      <w:tc>
        <w:tcPr>
          <w:tcW w:w="334" w:type="pct"/>
        </w:tcPr>
        <w:p w14:paraId="7996FBEB"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304B539E" w14:textId="77777777" w:rsidR="009A7753" w:rsidRDefault="009A7753" w:rsidP="009A7753">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51233645"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16F7"/>
    <w:multiLevelType w:val="multilevel"/>
    <w:tmpl w:val="64F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A0519"/>
    <w:multiLevelType w:val="multilevel"/>
    <w:tmpl w:val="762E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4"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B70435"/>
    <w:multiLevelType w:val="multilevel"/>
    <w:tmpl w:val="19E4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026D4"/>
    <w:multiLevelType w:val="multilevel"/>
    <w:tmpl w:val="A70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3"/>
  </w:num>
  <w:num w:numId="2" w16cid:durableId="1438015988">
    <w:abstractNumId w:val="4"/>
  </w:num>
  <w:num w:numId="3" w16cid:durableId="1618029677">
    <w:abstractNumId w:val="1"/>
  </w:num>
  <w:num w:numId="4" w16cid:durableId="1964193745">
    <w:abstractNumId w:val="0"/>
  </w:num>
  <w:num w:numId="5" w16cid:durableId="4938559">
    <w:abstractNumId w:val="5"/>
  </w:num>
  <w:num w:numId="6" w16cid:durableId="1522818393">
    <w:abstractNumId w:val="2"/>
  </w:num>
  <w:num w:numId="7" w16cid:durableId="924341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113A8D"/>
    <w:rsid w:val="0013464E"/>
    <w:rsid w:val="0014062F"/>
    <w:rsid w:val="00140996"/>
    <w:rsid w:val="00146FE7"/>
    <w:rsid w:val="00190DA7"/>
    <w:rsid w:val="001A74D4"/>
    <w:rsid w:val="001C5DD0"/>
    <w:rsid w:val="001F6259"/>
    <w:rsid w:val="002614BC"/>
    <w:rsid w:val="00280208"/>
    <w:rsid w:val="0028486B"/>
    <w:rsid w:val="002F66BD"/>
    <w:rsid w:val="00331CF6"/>
    <w:rsid w:val="003358E9"/>
    <w:rsid w:val="00391663"/>
    <w:rsid w:val="003A1A3B"/>
    <w:rsid w:val="003D4950"/>
    <w:rsid w:val="0040479A"/>
    <w:rsid w:val="004802A8"/>
    <w:rsid w:val="00485A36"/>
    <w:rsid w:val="0049271F"/>
    <w:rsid w:val="004E0031"/>
    <w:rsid w:val="004F3AF3"/>
    <w:rsid w:val="0055593A"/>
    <w:rsid w:val="005872DB"/>
    <w:rsid w:val="005A4286"/>
    <w:rsid w:val="005B2604"/>
    <w:rsid w:val="005C29B9"/>
    <w:rsid w:val="006347E7"/>
    <w:rsid w:val="00686D54"/>
    <w:rsid w:val="006A17E5"/>
    <w:rsid w:val="006D3396"/>
    <w:rsid w:val="007226F2"/>
    <w:rsid w:val="00747B96"/>
    <w:rsid w:val="007B27DD"/>
    <w:rsid w:val="007C375C"/>
    <w:rsid w:val="00816244"/>
    <w:rsid w:val="008F7149"/>
    <w:rsid w:val="009023AE"/>
    <w:rsid w:val="00957A19"/>
    <w:rsid w:val="009A7753"/>
    <w:rsid w:val="009C4B0E"/>
    <w:rsid w:val="009D08D9"/>
    <w:rsid w:val="00A93259"/>
    <w:rsid w:val="00B13FFB"/>
    <w:rsid w:val="00B275A9"/>
    <w:rsid w:val="00B57F97"/>
    <w:rsid w:val="00B63494"/>
    <w:rsid w:val="00BF2416"/>
    <w:rsid w:val="00BF5B3A"/>
    <w:rsid w:val="00C130CB"/>
    <w:rsid w:val="00C241F0"/>
    <w:rsid w:val="00C6706B"/>
    <w:rsid w:val="00C705B1"/>
    <w:rsid w:val="00CC5E98"/>
    <w:rsid w:val="00D01398"/>
    <w:rsid w:val="00D4507E"/>
    <w:rsid w:val="00D918C9"/>
    <w:rsid w:val="00DE5FE8"/>
    <w:rsid w:val="00E00A37"/>
    <w:rsid w:val="00E32F50"/>
    <w:rsid w:val="00E719F7"/>
    <w:rsid w:val="00EB58E7"/>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7303">
      <w:bodyDiv w:val="1"/>
      <w:marLeft w:val="0"/>
      <w:marRight w:val="0"/>
      <w:marTop w:val="0"/>
      <w:marBottom w:val="0"/>
      <w:divBdr>
        <w:top w:val="none" w:sz="0" w:space="0" w:color="auto"/>
        <w:left w:val="none" w:sz="0" w:space="0" w:color="auto"/>
        <w:bottom w:val="none" w:sz="0" w:space="0" w:color="auto"/>
        <w:right w:val="none" w:sz="0" w:space="0" w:color="auto"/>
      </w:divBdr>
    </w:div>
    <w:div w:id="512955333">
      <w:bodyDiv w:val="1"/>
      <w:marLeft w:val="0"/>
      <w:marRight w:val="0"/>
      <w:marTop w:val="0"/>
      <w:marBottom w:val="0"/>
      <w:divBdr>
        <w:top w:val="none" w:sz="0" w:space="0" w:color="auto"/>
        <w:left w:val="none" w:sz="0" w:space="0" w:color="auto"/>
        <w:bottom w:val="none" w:sz="0" w:space="0" w:color="auto"/>
        <w:right w:val="none" w:sz="0" w:space="0" w:color="auto"/>
      </w:divBdr>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8363">
      <w:bodyDiv w:val="1"/>
      <w:marLeft w:val="0"/>
      <w:marRight w:val="0"/>
      <w:marTop w:val="0"/>
      <w:marBottom w:val="0"/>
      <w:divBdr>
        <w:top w:val="none" w:sz="0" w:space="0" w:color="auto"/>
        <w:left w:val="none" w:sz="0" w:space="0" w:color="auto"/>
        <w:bottom w:val="none" w:sz="0" w:space="0" w:color="auto"/>
        <w:right w:val="none" w:sz="0" w:space="0" w:color="auto"/>
      </w:divBdr>
    </w:div>
    <w:div w:id="176714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1293</Words>
  <Characters>7655</Characters>
  <Application>Microsoft Office Word</Application>
  <DocSecurity>0</DocSecurity>
  <Lines>150</Lines>
  <Paragraphs>63</Paragraphs>
  <ScaleCrop>false</ScaleCrop>
  <HeadingPairs>
    <vt:vector size="2" baseType="variant">
      <vt:variant>
        <vt:lpstr>Title</vt:lpstr>
      </vt:variant>
      <vt:variant>
        <vt:i4>1</vt:i4>
      </vt:variant>
    </vt:vector>
  </HeadingPairs>
  <TitlesOfParts>
    <vt:vector size="1" baseType="lpstr">
      <vt:lpstr/>
    </vt:vector>
  </TitlesOfParts>
  <Company>Conform-Edge</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6</cp:revision>
  <dcterms:created xsi:type="dcterms:W3CDTF">2025-06-26T22:42:00Z</dcterms:created>
  <dcterms:modified xsi:type="dcterms:W3CDTF">2025-06-26T22:54:00Z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