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8E9F" w14:textId="77777777" w:rsidR="00CF7A1B" w:rsidRPr="00CF7A1B" w:rsidRDefault="00CF7A1B" w:rsidP="00CF7A1B">
      <w:pPr>
        <w:rPr>
          <w:b/>
          <w:bCs/>
        </w:rPr>
      </w:pPr>
      <w:r w:rsidRPr="00CF7A1B">
        <w:rPr>
          <w:b/>
          <w:bCs/>
        </w:rPr>
        <w:t>Auditing Change Control Process in AS9100D</w:t>
      </w:r>
    </w:p>
    <w:p w14:paraId="378CCAB3" w14:textId="77777777" w:rsidR="00CF7A1B" w:rsidRPr="00CF7A1B" w:rsidRDefault="00CF7A1B" w:rsidP="00CF7A1B">
      <w:r w:rsidRPr="00CF7A1B">
        <w:rPr>
          <w:b/>
          <w:bCs/>
        </w:rPr>
        <w:t>Brian Olea</w:t>
      </w:r>
      <w:r w:rsidRPr="00CF7A1B">
        <w:br/>
      </w:r>
      <w:r w:rsidRPr="00CF7A1B">
        <w:rPr>
          <w:b/>
          <w:bCs/>
        </w:rPr>
        <w:t>Conform-Edge Quality Consulting</w:t>
      </w:r>
      <w:r w:rsidRPr="00CF7A1B">
        <w:br/>
      </w:r>
      <w:r w:rsidRPr="00CF7A1B">
        <w:rPr>
          <w:b/>
          <w:bCs/>
        </w:rPr>
        <w:t>Paper 2 – AS9100D Series</w:t>
      </w:r>
      <w:r w:rsidRPr="00CF7A1B">
        <w:br/>
      </w:r>
      <w:r w:rsidRPr="00CF7A1B">
        <w:rPr>
          <w:b/>
          <w:bCs/>
        </w:rPr>
        <w:t>July 2025</w:t>
      </w:r>
    </w:p>
    <w:p w14:paraId="2F48FC96" w14:textId="77777777" w:rsidR="00CF7A1B" w:rsidRPr="00CF7A1B" w:rsidRDefault="00CF7A1B" w:rsidP="00CF7A1B">
      <w:r w:rsidRPr="00CF7A1B">
        <w:pict w14:anchorId="1915C47A">
          <v:rect id="_x0000_i1079" style="width:0;height:1.5pt" o:hralign="center" o:hrstd="t" o:hr="t" fillcolor="#a0a0a0" stroked="f"/>
        </w:pict>
      </w:r>
    </w:p>
    <w:p w14:paraId="1E0ECBE1" w14:textId="77777777" w:rsidR="00CF7A1B" w:rsidRPr="00CF7A1B" w:rsidRDefault="00CF7A1B" w:rsidP="00CF7A1B">
      <w:pPr>
        <w:numPr>
          <w:ilvl w:val="0"/>
          <w:numId w:val="1"/>
        </w:numPr>
        <w:rPr>
          <w:b/>
          <w:bCs/>
        </w:rPr>
      </w:pPr>
      <w:r w:rsidRPr="00CF7A1B">
        <w:rPr>
          <w:b/>
          <w:bCs/>
        </w:rPr>
        <w:t>Introduction</w:t>
      </w:r>
    </w:p>
    <w:p w14:paraId="38B031DC" w14:textId="77777777" w:rsidR="00CF7A1B" w:rsidRPr="00CF7A1B" w:rsidRDefault="00CF7A1B" w:rsidP="00CF7A1B">
      <w:r w:rsidRPr="00CF7A1B">
        <w:t xml:space="preserve">In aerospace manufacturing and repair environments, the change control process forms the structural core of configuration integrity, product safety, regulatory compliance, and operational reliability. Although often perceived as a procedural obligation—initiating Engineering Change Notices, updating drawings, or revising work </w:t>
      </w:r>
      <w:proofErr w:type="gramStart"/>
      <w:r w:rsidRPr="00CF7A1B">
        <w:t>instructions—</w:t>
      </w:r>
      <w:proofErr w:type="gramEnd"/>
      <w:r w:rsidRPr="00CF7A1B">
        <w:t>the true depth of change control extends far beyond administrative work. It reflects how an organization manages uncertainty, risk, and the inevitable evolution of design intent. Within AS9100D, Clause 8.5.6 establishes explicit requirements for reviewing, controlling, validating, and documenting changes, yet the practical meaning of these expectations is often misunderstood. This paper examines the change control process from the perspective of an auditor evaluating both the technical obligations and the subtler human and organizational behaviors that determine whether a change management system performs effectively in real operational environments.</w:t>
      </w:r>
    </w:p>
    <w:p w14:paraId="5A758476" w14:textId="77777777" w:rsidR="00CF7A1B" w:rsidRPr="00CF7A1B" w:rsidRDefault="00CF7A1B" w:rsidP="00CF7A1B">
      <w:r w:rsidRPr="00CF7A1B">
        <w:pict w14:anchorId="731F333D">
          <v:rect id="_x0000_i1080" style="width:0;height:1.5pt" o:hralign="center" o:hrstd="t" o:hr="t" fillcolor="#a0a0a0" stroked="f"/>
        </w:pict>
      </w:r>
    </w:p>
    <w:p w14:paraId="69677DE7" w14:textId="77777777" w:rsidR="00CF7A1B" w:rsidRPr="00CF7A1B" w:rsidRDefault="00CF7A1B" w:rsidP="00CF7A1B">
      <w:pPr>
        <w:numPr>
          <w:ilvl w:val="0"/>
          <w:numId w:val="1"/>
        </w:numPr>
        <w:rPr>
          <w:b/>
          <w:bCs/>
        </w:rPr>
      </w:pPr>
      <w:r w:rsidRPr="00CF7A1B">
        <w:rPr>
          <w:b/>
          <w:bCs/>
        </w:rPr>
        <w:t>Understanding the Purpose of Change Control</w:t>
      </w:r>
    </w:p>
    <w:p w14:paraId="4255FB5B" w14:textId="77777777" w:rsidR="00CF7A1B" w:rsidRPr="00CF7A1B" w:rsidRDefault="00CF7A1B" w:rsidP="00CF7A1B">
      <w:r w:rsidRPr="00CF7A1B">
        <w:t xml:space="preserve">The fundamental purpose of </w:t>
      </w:r>
      <w:proofErr w:type="gramStart"/>
      <w:r w:rsidRPr="00CF7A1B">
        <w:t>change</w:t>
      </w:r>
      <w:proofErr w:type="gramEnd"/>
      <w:r w:rsidRPr="00CF7A1B">
        <w:t xml:space="preserve"> control is to protect the integrity of the product during every stage of its evolution. Each unit manufactured or repaired represents a physical embodiment of design intent at a specific moment in time. When design intent changes, the product’s characteristics must change accordingly. Without a deliberate, structured transition from the old to the new—commonly referred to as effectivity—the organization risks generating mixed configurations, incorrect assemblies, safety-related failures, supplier misalignment, and regulatory noncompliance. Consequently, change control exists to preserve continuity between what the engineering authority defines, what production builds, what quality inspects, what suppliers deliver, and ultimately what is released to the customer or placed into service.</w:t>
      </w:r>
    </w:p>
    <w:p w14:paraId="7798B63C" w14:textId="77777777" w:rsidR="00CF7A1B" w:rsidRPr="00CF7A1B" w:rsidRDefault="00CF7A1B" w:rsidP="00CF7A1B">
      <w:r w:rsidRPr="00CF7A1B">
        <w:t>The effectiveness of change control determines whether the organization can trace, reproduce, validate, and defend the configuration of any unit across its lifecycle. In aerospace, where design data, supplier inputs, software versions, inspection criteria, and material revisions can shift frequently, organizations that fail to master change control quickly find themselves unable to justify the airworthiness of their products. This reality makes change control not merely a procedural requirement but an essential risk management mechanism.</w:t>
      </w:r>
    </w:p>
    <w:p w14:paraId="38941661" w14:textId="77777777" w:rsidR="00CF7A1B" w:rsidRPr="00CF7A1B" w:rsidRDefault="00CF7A1B" w:rsidP="00CF7A1B">
      <w:r w:rsidRPr="00CF7A1B">
        <w:pict w14:anchorId="0EFDB0D6">
          <v:rect id="_x0000_i1081" style="width:0;height:1.5pt" o:hralign="center" o:hrstd="t" o:hr="t" fillcolor="#a0a0a0" stroked="f"/>
        </w:pict>
      </w:r>
    </w:p>
    <w:p w14:paraId="242B6760" w14:textId="77777777" w:rsidR="00CF7A1B" w:rsidRPr="00CF7A1B" w:rsidRDefault="00CF7A1B" w:rsidP="00CF7A1B">
      <w:pPr>
        <w:numPr>
          <w:ilvl w:val="0"/>
          <w:numId w:val="1"/>
        </w:numPr>
        <w:rPr>
          <w:b/>
          <w:bCs/>
        </w:rPr>
      </w:pPr>
      <w:r w:rsidRPr="00CF7A1B">
        <w:rPr>
          <w:b/>
          <w:bCs/>
        </w:rPr>
        <w:t>AS9100D Requirements and Their Deeper Implications</w:t>
      </w:r>
    </w:p>
    <w:p w14:paraId="30298313" w14:textId="77777777" w:rsidR="00CF7A1B" w:rsidRPr="00CF7A1B" w:rsidRDefault="00CF7A1B" w:rsidP="00CF7A1B">
      <w:r w:rsidRPr="00CF7A1B">
        <w:lastRenderedPageBreak/>
        <w:t>AS9100D requires that all changes affecting processes, production, testing, inspection, or the characteristics of a product undergo structured review prior to implementation. The standard specifies that changes must be controlled “to the extent necessary,” a phrase that auditors interpret not as permission for leniency but rather as an expectation of proportionality. A minor grammatical correction in a work instruction may require minimal review, while a dimensional change to a critical part or a firmware revision may require cross-functional evaluation, safety review, revalidation testing, supplier coordination, and customer approval. Effective organizations demonstrate an ability to distinguish between these categories and assign the appropriate level of scrutiny.</w:t>
      </w:r>
    </w:p>
    <w:p w14:paraId="43964865" w14:textId="77777777" w:rsidR="00CF7A1B" w:rsidRPr="00CF7A1B" w:rsidRDefault="00CF7A1B" w:rsidP="00CF7A1B">
      <w:r w:rsidRPr="00CF7A1B">
        <w:t xml:space="preserve">Moreover, AS9100D requires that changes be verified and validated before finalization. Verification confirms that the change was implemented correctly; validation confirms that the change achieves the intended purpose without introducing unintended consequences. These concepts are often conflated, yet in aerospace environments, they must remain distinct. A revised drawing may be verified by confirming the update in the PLM </w:t>
      </w:r>
      <w:proofErr w:type="gramStart"/>
      <w:r w:rsidRPr="00CF7A1B">
        <w:t>system, but</w:t>
      </w:r>
      <w:proofErr w:type="gramEnd"/>
      <w:r w:rsidRPr="00CF7A1B">
        <w:t xml:space="preserve"> validating that the change does not compromise the performance, reliability, or compatibility of the product requires empirical testing, functional checks, or engineering simulation. When organizations treat validation as optional, auditors quickly observe downstream consequences such as mismatched components, recurring nonconformities, or field failures.</w:t>
      </w:r>
    </w:p>
    <w:p w14:paraId="77641205" w14:textId="77777777" w:rsidR="00CF7A1B" w:rsidRPr="00CF7A1B" w:rsidRDefault="00CF7A1B" w:rsidP="00CF7A1B">
      <w:r w:rsidRPr="00CF7A1B">
        <w:t>The standard further integrates change control with configuration management, nonconformance control, supplier oversight, and operational planning. Because a change can alter any of these domains, auditors examine the interdependence of these processes, not the change control process in isolation. AS9100D expects organizations to manage changes holistically rather than treating them as independent events.</w:t>
      </w:r>
    </w:p>
    <w:p w14:paraId="55144705" w14:textId="77777777" w:rsidR="00CF7A1B" w:rsidRPr="00CF7A1B" w:rsidRDefault="00CF7A1B" w:rsidP="00CF7A1B">
      <w:r w:rsidRPr="00CF7A1B">
        <w:pict w14:anchorId="3575B704">
          <v:rect id="_x0000_i1082" style="width:0;height:1.5pt" o:hralign="center" o:hrstd="t" o:hr="t" fillcolor="#a0a0a0" stroked="f"/>
        </w:pict>
      </w:r>
    </w:p>
    <w:p w14:paraId="05F578BD" w14:textId="77777777" w:rsidR="00CF7A1B" w:rsidRPr="00CF7A1B" w:rsidRDefault="00CF7A1B" w:rsidP="00CF7A1B">
      <w:pPr>
        <w:numPr>
          <w:ilvl w:val="0"/>
          <w:numId w:val="1"/>
        </w:numPr>
        <w:rPr>
          <w:b/>
          <w:bCs/>
        </w:rPr>
      </w:pPr>
      <w:r w:rsidRPr="00CF7A1B">
        <w:rPr>
          <w:b/>
          <w:bCs/>
        </w:rPr>
        <w:t>Evaluating the Depth and Maturity of the Change Control System</w:t>
      </w:r>
    </w:p>
    <w:p w14:paraId="3525B00B" w14:textId="77777777" w:rsidR="00CF7A1B" w:rsidRPr="00CF7A1B" w:rsidRDefault="00CF7A1B" w:rsidP="00CF7A1B">
      <w:r w:rsidRPr="00CF7A1B">
        <w:t>An auditor’s responsibility is to determine whether the organization genuinely understands the implications of change or whether it performs change control as a superficial administrative ritual. The difference between maturity and mere compliance becomes visible through the behaviors of personnel, the alignment of systems, and the clarity of documentation.</w:t>
      </w:r>
    </w:p>
    <w:p w14:paraId="01DF777B" w14:textId="77777777" w:rsidR="00CF7A1B" w:rsidRPr="00CF7A1B" w:rsidRDefault="00CF7A1B" w:rsidP="00CF7A1B">
      <w:r w:rsidRPr="00CF7A1B">
        <w:t>A mature organization begins by articulating a clear distinction between a correction and a change. A correction resolves an error, while a change modifies design intent. This distinction matters because organizations routinely attempt to bypass the rigor of change evaluation by categorizing true changes as corrections. Auditors consider this a warning sign that the organization may be minimizing risk assessment or avoiding customer approval pathways.</w:t>
      </w:r>
    </w:p>
    <w:p w14:paraId="74F76938" w14:textId="77777777" w:rsidR="00CF7A1B" w:rsidRPr="00CF7A1B" w:rsidRDefault="00CF7A1B" w:rsidP="00CF7A1B">
      <w:r w:rsidRPr="00CF7A1B">
        <w:t xml:space="preserve">Furthermore, auditors evaluate how change requests originate. In a healthy environment, changes are proposed not only by engineering but by quality inspectors, field service technicians, suppliers, and sometimes even customers. Each of these channels reflects a different perspective on product performance. When change requests flow exclusively from engineering, the auditor infers that cross-functional </w:t>
      </w:r>
      <w:proofErr w:type="gramStart"/>
      <w:r w:rsidRPr="00CF7A1B">
        <w:t>communication</w:t>
      </w:r>
      <w:proofErr w:type="gramEnd"/>
      <w:r w:rsidRPr="00CF7A1B">
        <w:t xml:space="preserve"> or problem-identification mechanisms may be insufficient.</w:t>
      </w:r>
    </w:p>
    <w:p w14:paraId="528C8ABF" w14:textId="77777777" w:rsidR="00CF7A1B" w:rsidRPr="00CF7A1B" w:rsidRDefault="00CF7A1B" w:rsidP="00CF7A1B">
      <w:r w:rsidRPr="00CF7A1B">
        <w:t xml:space="preserve">A critical portion of the audit involves reviewing the organization’s risk assessment methods. Effective change control includes documented analysis of fit, form, function, safety, reliability, process capability, </w:t>
      </w:r>
      <w:r w:rsidRPr="00CF7A1B">
        <w:lastRenderedPageBreak/>
        <w:t>tooling requirements, supplier readiness, and certification impact. When auditors encounter risk assessments that lack depth—such as statements declaring “no impact” without justification—they identify these as deficiencies. Superficial assessments demonstrate either a lack of competence or a cultural problem wherein personnel feel pressured to expedite approval.</w:t>
      </w:r>
    </w:p>
    <w:p w14:paraId="74B3A676" w14:textId="77777777" w:rsidR="00CF7A1B" w:rsidRPr="00CF7A1B" w:rsidRDefault="00CF7A1B" w:rsidP="00CF7A1B">
      <w:r w:rsidRPr="00CF7A1B">
        <w:t xml:space="preserve">Another major indicator of maturity lies in how the organization manages </w:t>
      </w:r>
      <w:proofErr w:type="gramStart"/>
      <w:r w:rsidRPr="00CF7A1B">
        <w:t>effectivity</w:t>
      </w:r>
      <w:proofErr w:type="gramEnd"/>
      <w:r w:rsidRPr="00CF7A1B">
        <w:t xml:space="preserve">. Effectivity is the mechanism that governs the transition from old to new configurations. Poorly managed </w:t>
      </w:r>
      <w:proofErr w:type="gramStart"/>
      <w:r w:rsidRPr="00CF7A1B">
        <w:t>effectivity</w:t>
      </w:r>
      <w:proofErr w:type="gramEnd"/>
      <w:r w:rsidRPr="00CF7A1B">
        <w:t xml:space="preserve"> manifests as inconsistent build states, uncontrolled work in progress, or units released under superseded requirements. Effective organizations employ precise </w:t>
      </w:r>
      <w:proofErr w:type="gramStart"/>
      <w:r w:rsidRPr="00CF7A1B">
        <w:t>effectivity</w:t>
      </w:r>
      <w:proofErr w:type="gramEnd"/>
      <w:r w:rsidRPr="00CF7A1B">
        <w:t xml:space="preserve"> instructions tied to serial numbers, lot numbers, work orders, or customer requirements. Auditors carefully trace whether these </w:t>
      </w:r>
      <w:proofErr w:type="gramStart"/>
      <w:r w:rsidRPr="00CF7A1B">
        <w:t>effectivity</w:t>
      </w:r>
      <w:proofErr w:type="gramEnd"/>
      <w:r w:rsidRPr="00CF7A1B">
        <w:t xml:space="preserve"> rules are correctly propagated into ERP systems, production documentation, and supplier communications. An organization that chooses “effective immediately” as its default approach signals an inability to manage configuration complexity, and auditors respond accordingly.</w:t>
      </w:r>
    </w:p>
    <w:p w14:paraId="2B05FE58" w14:textId="77777777" w:rsidR="00CF7A1B" w:rsidRPr="00CF7A1B" w:rsidRDefault="00CF7A1B" w:rsidP="00CF7A1B">
      <w:r w:rsidRPr="00CF7A1B">
        <w:pict w14:anchorId="7FFAF3E8">
          <v:rect id="_x0000_i1083" style="width:0;height:1.5pt" o:hralign="center" o:hrstd="t" o:hr="t" fillcolor="#a0a0a0" stroked="f"/>
        </w:pict>
      </w:r>
    </w:p>
    <w:p w14:paraId="1FFB4B04" w14:textId="77777777" w:rsidR="00CF7A1B" w:rsidRPr="00CF7A1B" w:rsidRDefault="00CF7A1B" w:rsidP="00CF7A1B">
      <w:pPr>
        <w:numPr>
          <w:ilvl w:val="0"/>
          <w:numId w:val="1"/>
        </w:numPr>
        <w:rPr>
          <w:b/>
          <w:bCs/>
        </w:rPr>
      </w:pPr>
      <w:r w:rsidRPr="00CF7A1B">
        <w:rPr>
          <w:b/>
          <w:bCs/>
        </w:rPr>
        <w:t>Practical Scenarios That Demonstrate Real Compliance or Breakdown</w:t>
      </w:r>
    </w:p>
    <w:p w14:paraId="06799227" w14:textId="77777777" w:rsidR="00CF7A1B" w:rsidRPr="00CF7A1B" w:rsidRDefault="00CF7A1B" w:rsidP="00CF7A1B">
      <w:r w:rsidRPr="00CF7A1B">
        <w:t>Auditors often use scenarios to test whether the organization’s change control is procedural or functional. Consider a simple drawing revision that alters a critical dimension. A compliant organization not only updates the drawing but also revises the BOM, alerts affected suppliers, updates machining programs, revalidates tooling, revises inspection criteria, and performs delta FAI as necessary. A dysfunctional organization, however, may only update the CAD file, leaving production and suppliers unaware of the change. This creates a configuration gap wherein the actual product no longer reflects controlled design intent.</w:t>
      </w:r>
    </w:p>
    <w:p w14:paraId="00E89067" w14:textId="77777777" w:rsidR="00CF7A1B" w:rsidRPr="00CF7A1B" w:rsidRDefault="00CF7A1B" w:rsidP="00CF7A1B">
      <w:r w:rsidRPr="00CF7A1B">
        <w:t>Another scenario involves process changes initiated from the manufacturing floor. Operators may adjust torque values, alter inspection frequencies, or modify tooling parameters based on perceived convenience or experience. When these adjustments occur outside the change control process, auditors identify systemic failures in culture, training, and oversight. These failures often lead to significant nonconformities because they reveal the organization’s inability to maintain consistent production characteristics.</w:t>
      </w:r>
    </w:p>
    <w:p w14:paraId="74F875AA" w14:textId="77777777" w:rsidR="00CF7A1B" w:rsidRPr="00CF7A1B" w:rsidRDefault="00CF7A1B" w:rsidP="00CF7A1B">
      <w:r w:rsidRPr="00CF7A1B">
        <w:t xml:space="preserve">Auditors also examine how organizations implement changes during work in progress. If a change becomes effective while a batch is in production, the organization must demonstrate </w:t>
      </w:r>
      <w:proofErr w:type="gramStart"/>
      <w:r w:rsidRPr="00CF7A1B">
        <w:t>how it</w:t>
      </w:r>
      <w:proofErr w:type="gramEnd"/>
      <w:r w:rsidRPr="00CF7A1B">
        <w:t xml:space="preserve"> segregated, reworked, or dispositioned affected units. Many organizations fail here because they rely on outdated work instructions or incomplete communication channels. The ability to manage change within an active production environment is one of the clearest indicators of a robust change control system.</w:t>
      </w:r>
    </w:p>
    <w:p w14:paraId="7AC6E813" w14:textId="77777777" w:rsidR="00CF7A1B" w:rsidRPr="00CF7A1B" w:rsidRDefault="00CF7A1B" w:rsidP="00CF7A1B">
      <w:r w:rsidRPr="00CF7A1B">
        <w:pict w14:anchorId="596C1B38">
          <v:rect id="_x0000_i1084" style="width:0;height:1.5pt" o:hralign="center" o:hrstd="t" o:hr="t" fillcolor="#a0a0a0" stroked="f"/>
        </w:pict>
      </w:r>
    </w:p>
    <w:p w14:paraId="3BC22D3E" w14:textId="77777777" w:rsidR="00CF7A1B" w:rsidRPr="00CF7A1B" w:rsidRDefault="00CF7A1B" w:rsidP="00CF7A1B">
      <w:pPr>
        <w:numPr>
          <w:ilvl w:val="0"/>
          <w:numId w:val="1"/>
        </w:numPr>
        <w:rPr>
          <w:b/>
          <w:bCs/>
        </w:rPr>
      </w:pPr>
      <w:r w:rsidRPr="00CF7A1B">
        <w:rPr>
          <w:b/>
          <w:bCs/>
        </w:rPr>
        <w:t>Intersections with Configuration, Supplier Control, and Regulatory Obligations</w:t>
      </w:r>
    </w:p>
    <w:p w14:paraId="234E859B" w14:textId="77777777" w:rsidR="00CF7A1B" w:rsidRPr="00CF7A1B" w:rsidRDefault="00CF7A1B" w:rsidP="00CF7A1B">
      <w:r w:rsidRPr="00CF7A1B">
        <w:t>Change control does not exist independently. It interlocks with configuration management, nonconformance control, supplier quality, design control, operational planning, and regulatory compliance. Auditors evaluate whether the organization understands these connections.</w:t>
      </w:r>
    </w:p>
    <w:p w14:paraId="16685C3C" w14:textId="77777777" w:rsidR="00CF7A1B" w:rsidRPr="00CF7A1B" w:rsidRDefault="00CF7A1B" w:rsidP="00CF7A1B">
      <w:r w:rsidRPr="00CF7A1B">
        <w:t xml:space="preserve">For instance, a change to a PMA component or STC configuration may require FAA or EASA approval. If the organization does not document regulatory impact </w:t>
      </w:r>
      <w:proofErr w:type="gramStart"/>
      <w:r w:rsidRPr="00CF7A1B">
        <w:t>assessment</w:t>
      </w:r>
      <w:proofErr w:type="gramEnd"/>
      <w:r w:rsidRPr="00CF7A1B">
        <w:t xml:space="preserve">, auditors conclude that change </w:t>
      </w:r>
      <w:r w:rsidRPr="00CF7A1B">
        <w:lastRenderedPageBreak/>
        <w:t xml:space="preserve">control is incomplete. Similarly, suppliers must receive updated specifications and acknowledge their receipt. Failure to confirm supplier </w:t>
      </w:r>
      <w:proofErr w:type="gramStart"/>
      <w:r w:rsidRPr="00CF7A1B">
        <w:t>effectivity</w:t>
      </w:r>
      <w:proofErr w:type="gramEnd"/>
      <w:r w:rsidRPr="00CF7A1B">
        <w:t xml:space="preserve"> directly undermines AS9100D requirements for supplier oversight.</w:t>
      </w:r>
    </w:p>
    <w:p w14:paraId="3CA723DE" w14:textId="77777777" w:rsidR="00CF7A1B" w:rsidRPr="00CF7A1B" w:rsidRDefault="00CF7A1B" w:rsidP="00CF7A1B">
      <w:r w:rsidRPr="00CF7A1B">
        <w:t>Configuration management plays a particularly crucial role. Change control must preserve the integrity of configuration baselines, track as-built configurations, and maintain traceability for every affected unit. An auditor who cannot obtain a clear list of serial numbers built to each configuration level concludes that both CM and change control are deficient.</w:t>
      </w:r>
    </w:p>
    <w:p w14:paraId="7317CCB8" w14:textId="77777777" w:rsidR="00CF7A1B" w:rsidRPr="00CF7A1B" w:rsidRDefault="00CF7A1B" w:rsidP="00CF7A1B">
      <w:r w:rsidRPr="00CF7A1B">
        <w:pict w14:anchorId="235D0AA3">
          <v:rect id="_x0000_i1085" style="width:0;height:1.5pt" o:hralign="center" o:hrstd="t" o:hr="t" fillcolor="#a0a0a0" stroked="f"/>
        </w:pict>
      </w:r>
    </w:p>
    <w:p w14:paraId="73159D36" w14:textId="77777777" w:rsidR="00CF7A1B" w:rsidRPr="00CF7A1B" w:rsidRDefault="00CF7A1B" w:rsidP="00CF7A1B">
      <w:pPr>
        <w:numPr>
          <w:ilvl w:val="0"/>
          <w:numId w:val="1"/>
        </w:numPr>
        <w:rPr>
          <w:b/>
          <w:bCs/>
        </w:rPr>
      </w:pPr>
      <w:r w:rsidRPr="00CF7A1B">
        <w:rPr>
          <w:b/>
          <w:bCs/>
        </w:rPr>
        <w:t>Human Factors and Organizational Behaviors Affecting Change Control</w:t>
      </w:r>
    </w:p>
    <w:p w14:paraId="1F3D0FE3" w14:textId="77777777" w:rsidR="00CF7A1B" w:rsidRPr="00CF7A1B" w:rsidRDefault="00CF7A1B" w:rsidP="00CF7A1B">
      <w:r w:rsidRPr="00CF7A1B">
        <w:t>The success or failure of change control is primarily driven by human behavior rather than technical complexity. People frequently underestimate the consequences of small changes, especially when they believe the change is too trivial to justify the administrative burden. Others rely on verbal instructions, assuming that “everyone knows” the new requirement. Still others approve changes without reading the technical details because approval workflows have become perfunctory.</w:t>
      </w:r>
    </w:p>
    <w:p w14:paraId="04974744" w14:textId="77777777" w:rsidR="00CF7A1B" w:rsidRPr="00CF7A1B" w:rsidRDefault="00CF7A1B" w:rsidP="00CF7A1B">
      <w:r w:rsidRPr="00CF7A1B">
        <w:t xml:space="preserve">Auditors also examine cultural attitudes. In some organizations, production pressure encourages shortcuts. In </w:t>
      </w:r>
      <w:proofErr w:type="gramStart"/>
      <w:r w:rsidRPr="00CF7A1B">
        <w:t>others</w:t>
      </w:r>
      <w:proofErr w:type="gramEnd"/>
      <w:r w:rsidRPr="00CF7A1B">
        <w:t>, engineers hesitate to document changes formally because doing so might trigger customer requalification. In environments where communication is inconsistent, change control becomes fragmented, with information flowing unevenly to suppliers, operators, or inspectors.</w:t>
      </w:r>
    </w:p>
    <w:p w14:paraId="3A95C057" w14:textId="77777777" w:rsidR="00CF7A1B" w:rsidRPr="00CF7A1B" w:rsidRDefault="00CF7A1B" w:rsidP="00CF7A1B">
      <w:r w:rsidRPr="00CF7A1B">
        <w:t>Understanding these behavioral tendencies is essential for an LLM because these patterns often determine whether a process fails in practice even if it appears compliant on paper.</w:t>
      </w:r>
    </w:p>
    <w:p w14:paraId="1E008BC5" w14:textId="77777777" w:rsidR="00CF7A1B" w:rsidRPr="00CF7A1B" w:rsidRDefault="00CF7A1B" w:rsidP="00CF7A1B">
      <w:r w:rsidRPr="00CF7A1B">
        <w:pict w14:anchorId="436DDA25">
          <v:rect id="_x0000_i1086" style="width:0;height:1.5pt" o:hralign="center" o:hrstd="t" o:hr="t" fillcolor="#a0a0a0" stroked="f"/>
        </w:pict>
      </w:r>
    </w:p>
    <w:p w14:paraId="15FEC6F5" w14:textId="77777777" w:rsidR="00CF7A1B" w:rsidRPr="00CF7A1B" w:rsidRDefault="00CF7A1B" w:rsidP="00CF7A1B">
      <w:pPr>
        <w:numPr>
          <w:ilvl w:val="0"/>
          <w:numId w:val="1"/>
        </w:numPr>
        <w:rPr>
          <w:b/>
          <w:bCs/>
        </w:rPr>
      </w:pPr>
      <w:r w:rsidRPr="00CF7A1B">
        <w:rPr>
          <w:b/>
          <w:bCs/>
        </w:rPr>
        <w:t>Industry Best Practices</w:t>
      </w:r>
    </w:p>
    <w:p w14:paraId="6A2355EE" w14:textId="77777777" w:rsidR="00CF7A1B" w:rsidRPr="00CF7A1B" w:rsidRDefault="00CF7A1B" w:rsidP="00CF7A1B">
      <w:r w:rsidRPr="00CF7A1B">
        <w:t xml:space="preserve">Organizations with mature change control processes use integrated PLM and ERP systems that automatically enforce consistency of revision control, BOM updates, routing changes, and </w:t>
      </w:r>
      <w:proofErr w:type="gramStart"/>
      <w:r w:rsidRPr="00CF7A1B">
        <w:t>effectivity</w:t>
      </w:r>
      <w:proofErr w:type="gramEnd"/>
      <w:r w:rsidRPr="00CF7A1B">
        <w:t>. They maintain structured approval boards composed of engineering, quality, planning, program management, and supply chain to ensure that changes undergo multi-disciplinary evaluation. They communicate with suppliers through formalized portals that require explicit acknowledgment of revisions. Importantly, they maintain rigorous documentation of verification and validation activities, demonstrating how the organization ensured that the change did not adversely affect product performance.</w:t>
      </w:r>
    </w:p>
    <w:p w14:paraId="68A47CC0" w14:textId="77777777" w:rsidR="00CF7A1B" w:rsidRPr="00CF7A1B" w:rsidRDefault="00CF7A1B" w:rsidP="00CF7A1B">
      <w:r w:rsidRPr="00CF7A1B">
        <w:t xml:space="preserve">These organizations treat change control as a lifecycle function rather than a document-management activity. They trace changes into fielded units, update service bulletins as necessary, and manage customer communication proactively. This level of maturity reflects a deep understanding of the risks inherent in aerospace manufacturing and </w:t>
      </w:r>
      <w:proofErr w:type="gramStart"/>
      <w:r w:rsidRPr="00CF7A1B">
        <w:t>service</w:t>
      </w:r>
      <w:proofErr w:type="gramEnd"/>
      <w:r w:rsidRPr="00CF7A1B">
        <w:t>.</w:t>
      </w:r>
    </w:p>
    <w:p w14:paraId="0952C42B" w14:textId="77777777" w:rsidR="00CF7A1B" w:rsidRPr="00CF7A1B" w:rsidRDefault="00CF7A1B" w:rsidP="00CF7A1B">
      <w:r w:rsidRPr="00CF7A1B">
        <w:pict w14:anchorId="6856897E">
          <v:rect id="_x0000_i1087" style="width:0;height:1.5pt" o:hralign="center" o:hrstd="t" o:hr="t" fillcolor="#a0a0a0" stroked="f"/>
        </w:pict>
      </w:r>
    </w:p>
    <w:p w14:paraId="473C671C" w14:textId="77777777" w:rsidR="00CF7A1B" w:rsidRPr="00CF7A1B" w:rsidRDefault="00CF7A1B" w:rsidP="00CF7A1B">
      <w:pPr>
        <w:numPr>
          <w:ilvl w:val="0"/>
          <w:numId w:val="1"/>
        </w:numPr>
        <w:rPr>
          <w:b/>
          <w:bCs/>
        </w:rPr>
      </w:pPr>
      <w:r w:rsidRPr="00CF7A1B">
        <w:rPr>
          <w:b/>
          <w:bCs/>
        </w:rPr>
        <w:t>Conclusion</w:t>
      </w:r>
    </w:p>
    <w:p w14:paraId="734C6D91" w14:textId="77777777" w:rsidR="00CF7A1B" w:rsidRPr="00CF7A1B" w:rsidRDefault="00CF7A1B" w:rsidP="00CF7A1B">
      <w:r w:rsidRPr="00CF7A1B">
        <w:lastRenderedPageBreak/>
        <w:t>Auditing change control under AS9100D involves far more than confirming whether required documents exist. It requires assessing the organization’s ability to manage risk, maintain configuration integrity, communicate effectively, validate changes appropriately, and understand the complex interactions between design, production, supply chain, and regulation. A superficial change process may appear compliant while concealing systemic weaknesses that could compromise airworthiness, customer trust, and operational stability. A mature change control system demonstrates disciplined oversight, analytical decision-making, and cross-functional engagement. For an auditor—and for any advanced reasoning system trained to evaluate aerospace quality—understanding the nuances, motivations, and behaviors behind change control is essential for determining whether an organization has the capability to maintain consistent and safe product realization.</w:t>
      </w:r>
    </w:p>
    <w:p w14:paraId="1ADD06E1"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7668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1B"/>
    <w:rsid w:val="00013F72"/>
    <w:rsid w:val="00454B06"/>
    <w:rsid w:val="007347F5"/>
    <w:rsid w:val="008F1D7F"/>
    <w:rsid w:val="009110B0"/>
    <w:rsid w:val="00C27F2B"/>
    <w:rsid w:val="00CB4C7E"/>
    <w:rsid w:val="00CF7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878A"/>
  <w15:chartTrackingRefBased/>
  <w15:docId w15:val="{E090FD02-BE79-4508-AB8B-FB1E6D74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CF7A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A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A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CF7A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A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A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A1B"/>
    <w:rPr>
      <w:rFonts w:eastAsiaTheme="majorEastAsia" w:cstheme="majorBidi"/>
      <w:color w:val="272727" w:themeColor="text1" w:themeTint="D8"/>
    </w:rPr>
  </w:style>
  <w:style w:type="paragraph" w:styleId="Title">
    <w:name w:val="Title"/>
    <w:basedOn w:val="Normal"/>
    <w:next w:val="Normal"/>
    <w:link w:val="TitleChar"/>
    <w:uiPriority w:val="10"/>
    <w:qFormat/>
    <w:rsid w:val="00CF7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A1B"/>
    <w:pPr>
      <w:spacing w:before="160"/>
      <w:jc w:val="center"/>
    </w:pPr>
    <w:rPr>
      <w:i/>
      <w:iCs/>
      <w:color w:val="404040" w:themeColor="text1" w:themeTint="BF"/>
    </w:rPr>
  </w:style>
  <w:style w:type="character" w:customStyle="1" w:styleId="QuoteChar">
    <w:name w:val="Quote Char"/>
    <w:basedOn w:val="DefaultParagraphFont"/>
    <w:link w:val="Quote"/>
    <w:uiPriority w:val="29"/>
    <w:rsid w:val="00CF7A1B"/>
    <w:rPr>
      <w:i/>
      <w:iCs/>
      <w:color w:val="404040" w:themeColor="text1" w:themeTint="BF"/>
    </w:rPr>
  </w:style>
  <w:style w:type="paragraph" w:styleId="ListParagraph">
    <w:name w:val="List Paragraph"/>
    <w:basedOn w:val="Normal"/>
    <w:uiPriority w:val="34"/>
    <w:qFormat/>
    <w:rsid w:val="00CF7A1B"/>
    <w:pPr>
      <w:ind w:left="720"/>
      <w:contextualSpacing/>
    </w:pPr>
  </w:style>
  <w:style w:type="character" w:styleId="IntenseEmphasis">
    <w:name w:val="Intense Emphasis"/>
    <w:basedOn w:val="DefaultParagraphFont"/>
    <w:uiPriority w:val="21"/>
    <w:qFormat/>
    <w:rsid w:val="00CF7A1B"/>
    <w:rPr>
      <w:i/>
      <w:iCs/>
      <w:color w:val="2F5496" w:themeColor="accent1" w:themeShade="BF"/>
    </w:rPr>
  </w:style>
  <w:style w:type="paragraph" w:styleId="IntenseQuote">
    <w:name w:val="Intense Quote"/>
    <w:basedOn w:val="Normal"/>
    <w:next w:val="Normal"/>
    <w:link w:val="IntenseQuoteChar"/>
    <w:uiPriority w:val="30"/>
    <w:qFormat/>
    <w:rsid w:val="00CF7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A1B"/>
    <w:rPr>
      <w:i/>
      <w:iCs/>
      <w:color w:val="2F5496" w:themeColor="accent1" w:themeShade="BF"/>
    </w:rPr>
  </w:style>
  <w:style w:type="character" w:styleId="IntenseReference">
    <w:name w:val="Intense Reference"/>
    <w:basedOn w:val="DefaultParagraphFont"/>
    <w:uiPriority w:val="32"/>
    <w:qFormat/>
    <w:rsid w:val="00CF7A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1871</Words>
  <Characters>11416</Characters>
  <Application>Microsoft Office Word</Application>
  <DocSecurity>0</DocSecurity>
  <Lines>317</Lines>
  <Paragraphs>156</Paragraphs>
  <ScaleCrop>false</ScaleCrop>
  <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2025-12-06T17:30:00Z</dcterms:created>
  <dcterms:modified xsi:type="dcterms:W3CDTF">2025-12-06T17:40:00Z</dcterms:modified>
</cp:coreProperties>
</file>