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67413">
      <w:pPr>
        <w:rPr>
          <w:rFonts w:hint="eastAsia"/>
        </w:rPr>
      </w:pPr>
      <w:r>
        <w:rPr>
          <w:rFonts w:hint="eastAsia"/>
        </w:rPr>
        <w:t>教育任务描述文件</w:t>
      </w:r>
    </w:p>
    <w:p w14:paraId="0416BBB6">
      <w:pPr>
        <w:rPr>
          <w:rFonts w:hint="eastAsia"/>
        </w:rPr>
      </w:pPr>
    </w:p>
    <w:p w14:paraId="1C1181ED">
      <w:pPr>
        <w:rPr>
          <w:rFonts w:hint="eastAsia"/>
        </w:rPr>
      </w:pPr>
      <w:r>
        <w:rPr>
          <w:rFonts w:hint="eastAsia"/>
        </w:rPr>
        <w:t>1、任务名称</w:t>
      </w:r>
    </w:p>
    <w:p w14:paraId="442C5C48">
      <w:pPr>
        <w:rPr>
          <w:rFonts w:hint="eastAsia"/>
        </w:rPr>
      </w:pPr>
      <w:r>
        <w:rPr>
          <w:rFonts w:hint="eastAsia"/>
        </w:rPr>
        <w:t>中职“固定教研时段”被挤占与教研会议行政化的机制优化</w:t>
      </w:r>
    </w:p>
    <w:p w14:paraId="772DF408">
      <w:pPr>
        <w:rPr>
          <w:rFonts w:hint="eastAsia"/>
        </w:rPr>
      </w:pPr>
    </w:p>
    <w:p w14:paraId="3ED0AE6C">
      <w:pPr>
        <w:rPr>
          <w:rFonts w:hint="eastAsia"/>
        </w:rPr>
      </w:pPr>
      <w:r>
        <w:rPr>
          <w:rFonts w:hint="eastAsia"/>
        </w:rPr>
        <w:t>2、触发情景</w:t>
      </w:r>
    </w:p>
    <w:p w14:paraId="6DBC5341">
      <w:pPr>
        <w:rPr>
          <w:rFonts w:hint="eastAsia"/>
        </w:rPr>
      </w:pPr>
    </w:p>
    <w:p w14:paraId="39B5EE7D">
      <w:pPr>
        <w:rPr>
          <w:rFonts w:hint="eastAsia"/>
        </w:rPr>
      </w:pPr>
      <w:r>
        <w:rPr>
          <w:rFonts w:hint="eastAsia"/>
        </w:rPr>
        <w:t>适用学段：中等职业教育（兼顾其他存在类似痛点的基础教育学校）。</w:t>
      </w:r>
    </w:p>
    <w:p w14:paraId="792E407B">
      <w:pPr>
        <w:rPr>
          <w:rFonts w:hint="eastAsia"/>
        </w:rPr>
      </w:pPr>
      <w:r>
        <w:rPr>
          <w:rFonts w:hint="eastAsia"/>
        </w:rPr>
        <w:t>环境限定：存在“每周固定时间段、固定地点”教研制度的实体校园环境。</w:t>
      </w:r>
    </w:p>
    <w:p w14:paraId="64C259E4">
      <w:pPr>
        <w:rPr>
          <w:rFonts w:hint="eastAsia"/>
        </w:rPr>
      </w:pPr>
      <w:r>
        <w:rPr>
          <w:rFonts w:hint="eastAsia"/>
        </w:rPr>
        <w:t>约束条件：面临18周有效教学周的时间限制；面临班主任工作线与教学工作线“双线并行”的人员重叠冲突；面临多部门（行政、工会、党建）争夺教师集中时段的现实压力。</w:t>
      </w:r>
    </w:p>
    <w:p w14:paraId="7F988DD4">
      <w:pPr>
        <w:rPr>
          <w:rFonts w:hint="eastAsia"/>
        </w:rPr>
      </w:pPr>
      <w:r>
        <w:rPr>
          <w:rFonts w:hint="eastAsia"/>
        </w:rPr>
        <w:t>任务意图：为学校管理者或教研组长生成一套“保时间、转内容、重产出”的教研机制治理与优化方案。</w:t>
      </w:r>
    </w:p>
    <w:p w14:paraId="2D1A740A">
      <w:pPr>
        <w:rPr>
          <w:rFonts w:hint="eastAsia"/>
        </w:rPr>
      </w:pPr>
      <w:r>
        <w:rPr>
          <w:rFonts w:hint="eastAsia"/>
        </w:rPr>
        <w:t>3、核心问题</w:t>
      </w:r>
    </w:p>
    <w:p w14:paraId="653EF4B8">
      <w:pPr>
        <w:rPr>
          <w:rFonts w:hint="eastAsia"/>
        </w:rPr>
      </w:pPr>
      <w:r>
        <w:rPr>
          <w:rFonts w:hint="eastAsia"/>
        </w:rPr>
        <w:t>在真实的教育管理情景中，教研活动反复面临以下“形式化与空心化”挑战：</w:t>
      </w:r>
    </w:p>
    <w:p w14:paraId="062B7472">
      <w:pPr>
        <w:rPr>
          <w:rFonts w:hint="eastAsia"/>
        </w:rPr>
      </w:pPr>
    </w:p>
    <w:p w14:paraId="5665A710">
      <w:pPr>
        <w:rPr>
          <w:rFonts w:hint="eastAsia"/>
        </w:rPr>
      </w:pPr>
      <w:r>
        <w:rPr>
          <w:rFonts w:hint="eastAsia"/>
        </w:rPr>
        <w:t>结构性挤占（时间频次不足）：名义上每周一次教研，但常被全校大会、工会活动、部门会议挤占，或与节假日调休撞车。一学期实际开展的教研甚至锐减至6次左右。</w:t>
      </w:r>
    </w:p>
    <w:p w14:paraId="1B29BF25">
      <w:pPr>
        <w:rPr>
          <w:rFonts w:hint="eastAsia"/>
        </w:rPr>
      </w:pPr>
      <w:r>
        <w:rPr>
          <w:rFonts w:hint="eastAsia"/>
        </w:rPr>
        <w:t>机制性失灵（专业教研退化）：教研会异化为“传达行政通知 + 班级纪律通报 + 闲聊”。资深专业课教师缺乏研讨动力（自认技术已见底）；即使开展专题学习，也往往缺少后续跟踪，听完即止，未形成闭环。</w:t>
      </w:r>
    </w:p>
    <w:p w14:paraId="777678D2">
      <w:pPr>
        <w:rPr>
          <w:rFonts w:hint="eastAsia"/>
        </w:rPr>
      </w:pPr>
      <w:r>
        <w:rPr>
          <w:rFonts w:hint="eastAsia"/>
        </w:rPr>
        <w:t>机制副作用（学科教研的“一刀切”）：公共基础课（如数学）虽能做到集中备课，但副作用是“共性压过个性”。教师为了进度统一，对不同专业的学情差异缺乏针对性调整，跨专业适配度极低。</w:t>
      </w:r>
    </w:p>
    <w:p w14:paraId="3EB68F11">
      <w:pPr>
        <w:rPr>
          <w:rFonts w:hint="eastAsia"/>
        </w:rPr>
      </w:pPr>
      <w:r>
        <w:rPr>
          <w:rFonts w:hint="eastAsia"/>
        </w:rPr>
        <w:t>4、解决方案（工作流设计）</w:t>
      </w:r>
    </w:p>
    <w:p w14:paraId="72FBA566">
      <w:pPr>
        <w:rPr>
          <w:rFonts w:hint="eastAsia"/>
        </w:rPr>
      </w:pPr>
      <w:r>
        <w:rPr>
          <w:rFonts w:hint="eastAsia"/>
        </w:rPr>
        <w:t>本方案需引导执行者采取“线性保障 + 分支处理 + 闭环迭代”的综合治理工作流：</w:t>
      </w:r>
    </w:p>
    <w:p w14:paraId="731387C1">
      <w:pPr>
        <w:rPr>
          <w:rFonts w:hint="eastAsia"/>
        </w:rPr>
      </w:pPr>
    </w:p>
    <w:p w14:paraId="283B1BEC">
      <w:pPr>
        <w:rPr>
          <w:rFonts w:hint="eastAsia"/>
        </w:rPr>
      </w:pPr>
      <w:r>
        <w:rPr>
          <w:rFonts w:hint="eastAsia"/>
        </w:rPr>
        <w:t>线性流（时间与行政保障）： 第一步：建立校级统筹“防火墙”，清点并剥离非教研性质的行政会议。 第二步：确立固定时段的“硬约束”及被占用后的“法定补偿/顺延机制”。</w:t>
      </w:r>
    </w:p>
    <w:p w14:paraId="676B9378">
      <w:pPr>
        <w:rPr>
          <w:rFonts w:hint="eastAsia"/>
        </w:rPr>
      </w:pPr>
      <w:r>
        <w:rPr>
          <w:rFonts w:hint="eastAsia"/>
        </w:rPr>
        <w:t>分支流（分层分类引导）： 专业课分支：将议题从“行政通知”强制拉回“课堂真问题”（如技能实操难点、项目式教学设计）。 公共课分支：建立“共性底座 + 个性适配”的双层备课机制，引入专业课教师协同定标，解决“跨专业水土不服”。</w:t>
      </w:r>
    </w:p>
    <w:p w14:paraId="0930D9D7">
      <w:pPr>
        <w:rPr>
          <w:rFonts w:hint="eastAsia"/>
        </w:rPr>
      </w:pPr>
      <w:r>
        <w:rPr>
          <w:rFonts w:hint="eastAsia"/>
        </w:rPr>
        <w:t>循环流（产出与反馈闭环）： 单次教研必须遵循“提出问题 -&gt; 研讨策略 -&gt; 形成微型产出（任务单/调整方案） -&gt; 课堂实践 -&gt; 下次教研复盘证据”的反馈循环，彻底终结“一次性无痕教研”。</w:t>
      </w:r>
    </w:p>
    <w:p w14:paraId="54905FEC">
      <w:pPr>
        <w:rPr>
          <w:rFonts w:hint="eastAsia"/>
        </w:rPr>
      </w:pPr>
      <w:r>
        <w:rPr>
          <w:rFonts w:hint="eastAsia"/>
        </w:rPr>
        <w:t>5、评价准则</w:t>
      </w:r>
    </w:p>
    <w:p w14:paraId="2CE054DC">
      <w:pPr>
        <w:rPr>
          <w:rFonts w:hint="eastAsia"/>
        </w:rPr>
      </w:pPr>
      <w:r>
        <w:rPr>
          <w:rFonts w:hint="eastAsia"/>
        </w:rPr>
        <w:t>对智能体输出方案的评价：</w:t>
      </w:r>
    </w:p>
    <w:tbl>
      <w:tblPr>
        <w:tblStyle w:val="2"/>
        <w:tblW w:w="879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7"/>
        <w:gridCol w:w="660"/>
        <w:gridCol w:w="3060"/>
        <w:gridCol w:w="2475"/>
      </w:tblGrid>
      <w:tr w14:paraId="691DE2AA">
        <w:trPr>
          <w:trHeight w:val="0" w:hRule="atLeast"/>
          <w:tblHeader/>
          <w:tblCellSpacing w:w="15" w:type="dxa"/>
          <w:jc w:val="center"/>
        </w:trPr>
        <w:tc>
          <w:tcPr>
            <w:tcW w:w="2552" w:type="dxa"/>
            <w:tcBorders>
              <w:top w:val="single" w:color="000000" w:sz="12" w:space="0"/>
              <w:bottom w:val="single" w:color="000000" w:sz="4" w:space="0"/>
              <w:tl2br w:val="nil"/>
            </w:tcBorders>
            <w:shd w:val="clear" w:color="auto" w:fill="FFFFFF"/>
            <w:vAlign w:val="center"/>
          </w:tcPr>
          <w:p w14:paraId="080E90B4">
            <w:pPr>
              <w:keepNext/>
              <w:keepLines w:val="0"/>
              <w:widowControl/>
              <w:suppressLineNumbers w:val="0"/>
              <w:snapToGrid w:val="0"/>
              <w:ind w:left="0" w:leftChars="0" w:right="0" w:rightChars="0" w:firstLine="0" w:firstLineChars="0"/>
              <w:jc w:val="center"/>
              <w:rPr>
                <w:rFonts w:ascii="宋体" w:eastAsia="宋体"/>
                <w:b w:val="0"/>
                <w:bCs/>
                <w:color w:val="000000"/>
                <w:sz w:val="24"/>
              </w:rPr>
            </w:pPr>
            <w:r>
              <w:rPr>
                <w:rFonts w:ascii="宋体" w:hAnsi="宋体" w:eastAsia="宋体" w:cs="宋体"/>
                <w:b w:val="0"/>
                <w:bCs/>
                <w:color w:val="000000"/>
                <w:kern w:val="0"/>
                <w:sz w:val="24"/>
                <w:szCs w:val="24"/>
                <w:lang w:val="en-US" w:eastAsia="zh-CN" w:bidi="ar"/>
              </w:rPr>
              <w:t>维度</w:t>
            </w:r>
          </w:p>
        </w:tc>
        <w:tc>
          <w:tcPr>
            <w:tcW w:w="630" w:type="dxa"/>
            <w:tcBorders>
              <w:top w:val="single" w:color="000000" w:sz="12" w:space="0"/>
              <w:bottom w:val="single" w:color="000000" w:sz="4" w:space="0"/>
            </w:tcBorders>
            <w:shd w:val="clear" w:color="auto" w:fill="FFFFFF"/>
            <w:vAlign w:val="center"/>
          </w:tcPr>
          <w:p w14:paraId="5AA322D9">
            <w:pPr>
              <w:keepNext/>
              <w:keepLines w:val="0"/>
              <w:widowControl/>
              <w:suppressLineNumbers w:val="0"/>
              <w:snapToGrid w:val="0"/>
              <w:ind w:left="0" w:leftChars="0" w:right="0" w:rightChars="0" w:firstLine="0" w:firstLineChars="0"/>
              <w:jc w:val="center"/>
              <w:rPr>
                <w:rFonts w:ascii="宋体" w:eastAsia="宋体"/>
                <w:b w:val="0"/>
                <w:bCs/>
                <w:color w:val="000000"/>
                <w:sz w:val="24"/>
              </w:rPr>
            </w:pPr>
            <w:r>
              <w:rPr>
                <w:rFonts w:ascii="宋体" w:hAnsi="宋体" w:eastAsia="宋体" w:cs="宋体"/>
                <w:b w:val="0"/>
                <w:bCs/>
                <w:color w:val="000000"/>
                <w:kern w:val="0"/>
                <w:sz w:val="24"/>
                <w:szCs w:val="24"/>
                <w:lang w:val="en-US" w:eastAsia="zh-CN" w:bidi="ar"/>
              </w:rPr>
              <w:t>权重</w:t>
            </w:r>
          </w:p>
        </w:tc>
        <w:tc>
          <w:tcPr>
            <w:tcW w:w="3030" w:type="dxa"/>
            <w:tcBorders>
              <w:top w:val="single" w:color="000000" w:sz="12" w:space="0"/>
              <w:bottom w:val="single" w:color="000000" w:sz="4" w:space="0"/>
            </w:tcBorders>
            <w:shd w:val="clear" w:color="auto" w:fill="FFFFFF"/>
            <w:vAlign w:val="center"/>
          </w:tcPr>
          <w:p w14:paraId="0A55825D">
            <w:pPr>
              <w:keepNext/>
              <w:keepLines w:val="0"/>
              <w:widowControl/>
              <w:suppressLineNumbers w:val="0"/>
              <w:snapToGrid w:val="0"/>
              <w:ind w:left="0" w:leftChars="0" w:right="0" w:rightChars="0" w:firstLine="0" w:firstLineChars="0"/>
              <w:jc w:val="center"/>
              <w:rPr>
                <w:rFonts w:ascii="宋体" w:eastAsia="宋体"/>
                <w:b w:val="0"/>
                <w:bCs/>
                <w:color w:val="000000"/>
                <w:sz w:val="24"/>
              </w:rPr>
            </w:pPr>
            <w:r>
              <w:rPr>
                <w:rFonts w:ascii="宋体" w:hAnsi="宋体" w:eastAsia="宋体" w:cs="宋体"/>
                <w:b w:val="0"/>
                <w:bCs/>
                <w:color w:val="000000"/>
                <w:kern w:val="0"/>
                <w:sz w:val="24"/>
                <w:szCs w:val="24"/>
                <w:lang w:val="en-US" w:eastAsia="zh-CN" w:bidi="ar"/>
              </w:rPr>
              <w:t>优秀（A）</w:t>
            </w:r>
          </w:p>
        </w:tc>
        <w:tc>
          <w:tcPr>
            <w:tcW w:w="2430" w:type="dxa"/>
            <w:tcBorders>
              <w:top w:val="single" w:color="000000" w:sz="12" w:space="0"/>
              <w:bottom w:val="single" w:color="000000" w:sz="4" w:space="0"/>
            </w:tcBorders>
            <w:shd w:val="clear" w:color="auto" w:fill="FFFFFF"/>
            <w:vAlign w:val="center"/>
          </w:tcPr>
          <w:p w14:paraId="3B578AEB">
            <w:pPr>
              <w:keepNext/>
              <w:keepLines w:val="0"/>
              <w:widowControl/>
              <w:suppressLineNumbers w:val="0"/>
              <w:snapToGrid w:val="0"/>
              <w:ind w:left="0" w:leftChars="0" w:right="0" w:rightChars="0" w:firstLine="0" w:firstLineChars="0"/>
              <w:jc w:val="center"/>
              <w:rPr>
                <w:rFonts w:ascii="宋体" w:eastAsia="宋体"/>
                <w:b w:val="0"/>
                <w:bCs/>
                <w:color w:val="000000"/>
                <w:sz w:val="24"/>
              </w:rPr>
            </w:pPr>
            <w:r>
              <w:rPr>
                <w:rFonts w:ascii="宋体" w:hAnsi="宋体" w:eastAsia="宋体" w:cs="宋体"/>
                <w:b w:val="0"/>
                <w:bCs/>
                <w:color w:val="000000"/>
                <w:kern w:val="0"/>
                <w:sz w:val="24"/>
                <w:szCs w:val="24"/>
                <w:lang w:val="en-US" w:eastAsia="zh-CN" w:bidi="ar"/>
              </w:rPr>
              <w:t>合格（B）</w:t>
            </w:r>
          </w:p>
        </w:tc>
      </w:tr>
      <w:tr w14:paraId="058BA0E3">
        <w:trPr>
          <w:trHeight w:val="0" w:hRule="atLeast"/>
          <w:tblCellSpacing w:w="15" w:type="dxa"/>
          <w:jc w:val="center"/>
        </w:trPr>
        <w:tc>
          <w:tcPr>
            <w:tcW w:w="2552" w:type="dxa"/>
            <w:tcBorders>
              <w:top w:val="single" w:color="000000" w:sz="4" w:space="0"/>
            </w:tcBorders>
            <w:shd w:val="clear" w:color="auto" w:fill="FFFFFF"/>
            <w:vAlign w:val="center"/>
          </w:tcPr>
          <w:p w14:paraId="55F86D78">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Style w:val="4"/>
                <w:rFonts w:ascii="宋体" w:hAnsi="宋体" w:eastAsia="宋体" w:cs="宋体"/>
                <w:b w:val="0"/>
                <w:color w:val="000000"/>
                <w:kern w:val="0"/>
                <w:sz w:val="24"/>
                <w:szCs w:val="24"/>
                <w:lang w:val="en-US" w:eastAsia="zh-CN" w:bidi="ar"/>
              </w:rPr>
              <w:t>机制设计的可操作性</w:t>
            </w:r>
          </w:p>
        </w:tc>
        <w:tc>
          <w:tcPr>
            <w:tcW w:w="630" w:type="dxa"/>
            <w:tcBorders>
              <w:top w:val="single" w:color="000000" w:sz="4" w:space="0"/>
            </w:tcBorders>
            <w:shd w:val="clear" w:color="auto" w:fill="FFFFFF"/>
            <w:vAlign w:val="center"/>
          </w:tcPr>
          <w:p w14:paraId="32F40987">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Fonts w:ascii="宋体" w:hAnsi="宋体" w:eastAsia="宋体" w:cs="宋体"/>
                <w:b w:val="0"/>
                <w:color w:val="000000"/>
                <w:kern w:val="0"/>
                <w:sz w:val="24"/>
                <w:szCs w:val="24"/>
                <w:lang w:val="en-US" w:eastAsia="zh-CN" w:bidi="ar"/>
              </w:rPr>
              <w:t>30%</w:t>
            </w:r>
          </w:p>
        </w:tc>
        <w:tc>
          <w:tcPr>
            <w:tcW w:w="3030" w:type="dxa"/>
            <w:tcBorders>
              <w:top w:val="single" w:color="000000" w:sz="4" w:space="0"/>
            </w:tcBorders>
            <w:shd w:val="clear" w:color="auto" w:fill="FFFFFF"/>
            <w:vAlign w:val="center"/>
          </w:tcPr>
          <w:p w14:paraId="39861C85">
            <w:pPr>
              <w:keepNext/>
              <w:keepLines w:val="0"/>
              <w:widowControl/>
              <w:suppressLineNumbers w:val="0"/>
              <w:snapToGrid w:val="0"/>
              <w:ind w:left="0" w:leftChars="0" w:right="0" w:rightChars="0" w:firstLine="0" w:firstLineChars="0"/>
              <w:jc w:val="right"/>
              <w:rPr>
                <w:rFonts w:ascii="宋体" w:eastAsia="宋体"/>
                <w:b w:val="0"/>
                <w:color w:val="000000"/>
                <w:sz w:val="24"/>
              </w:rPr>
            </w:pPr>
            <w:r>
              <w:rPr>
                <w:rFonts w:ascii="宋体" w:hAnsi="宋体" w:eastAsia="宋体" w:cs="宋体"/>
                <w:b w:val="0"/>
                <w:color w:val="000000"/>
                <w:kern w:val="0"/>
                <w:sz w:val="24"/>
                <w:szCs w:val="24"/>
                <w:lang w:val="en-US" w:eastAsia="zh-CN" w:bidi="ar"/>
              </w:rPr>
              <w:t>规则清晰明确（如谁审批、怎么补偿），不增加额外负担，具有强烈的现实落地可能，而非仅仅呼吁“领导重视”。</w:t>
            </w:r>
          </w:p>
        </w:tc>
        <w:tc>
          <w:tcPr>
            <w:tcW w:w="2430" w:type="dxa"/>
            <w:tcBorders>
              <w:top w:val="single" w:color="000000" w:sz="4" w:space="0"/>
            </w:tcBorders>
            <w:shd w:val="clear" w:color="auto" w:fill="FFFFFF"/>
            <w:vAlign w:val="center"/>
          </w:tcPr>
          <w:p w14:paraId="26E5276B">
            <w:pPr>
              <w:keepNext/>
              <w:keepLines w:val="0"/>
              <w:widowControl/>
              <w:suppressLineNumbers w:val="0"/>
              <w:snapToGrid w:val="0"/>
              <w:ind w:left="0" w:leftChars="0" w:right="0" w:rightChars="0" w:firstLine="0" w:firstLineChars="0"/>
              <w:jc w:val="left"/>
              <w:rPr>
                <w:rFonts w:ascii="宋体" w:eastAsia="宋体"/>
                <w:b w:val="0"/>
                <w:color w:val="000000"/>
                <w:sz w:val="24"/>
              </w:rPr>
            </w:pPr>
            <w:r>
              <w:rPr>
                <w:rFonts w:ascii="宋体" w:hAnsi="宋体" w:eastAsia="宋体" w:cs="宋体"/>
                <w:b w:val="0"/>
                <w:color w:val="000000"/>
                <w:kern w:val="0"/>
                <w:sz w:val="24"/>
                <w:szCs w:val="24"/>
                <w:lang w:val="en-US" w:eastAsia="zh-CN" w:bidi="ar"/>
              </w:rPr>
              <w:t>有基本的制度框架或建议，但缺乏具体的工具抓手，部分要求过于理想化（如强制要求每周必须完成）。</w:t>
            </w:r>
          </w:p>
        </w:tc>
      </w:tr>
      <w:tr w14:paraId="65C752F3">
        <w:trPr>
          <w:trHeight w:val="0" w:hRule="atLeast"/>
          <w:tblCellSpacing w:w="15" w:type="dxa"/>
          <w:jc w:val="center"/>
        </w:trPr>
        <w:tc>
          <w:tcPr>
            <w:tcW w:w="2552" w:type="dxa"/>
            <w:shd w:val="clear" w:color="auto" w:fill="FFFFFF"/>
            <w:vAlign w:val="center"/>
          </w:tcPr>
          <w:p w14:paraId="4C304267">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Style w:val="4"/>
                <w:rFonts w:ascii="宋体" w:hAnsi="宋体" w:eastAsia="宋体" w:cs="宋体"/>
                <w:b w:val="0"/>
                <w:color w:val="000000"/>
                <w:kern w:val="0"/>
                <w:sz w:val="24"/>
                <w:szCs w:val="24"/>
                <w:lang w:val="en-US" w:eastAsia="zh-CN" w:bidi="ar"/>
              </w:rPr>
              <w:t>痛点诊断与情境适配度</w:t>
            </w:r>
          </w:p>
        </w:tc>
        <w:tc>
          <w:tcPr>
            <w:tcW w:w="630" w:type="dxa"/>
            <w:shd w:val="clear" w:color="auto" w:fill="FFFFFF"/>
            <w:vAlign w:val="center"/>
          </w:tcPr>
          <w:p w14:paraId="25EFFB57">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Fonts w:ascii="宋体" w:hAnsi="宋体" w:eastAsia="宋体" w:cs="宋体"/>
                <w:b w:val="0"/>
                <w:color w:val="000000"/>
                <w:kern w:val="0"/>
                <w:sz w:val="24"/>
                <w:szCs w:val="24"/>
                <w:lang w:val="en-US" w:eastAsia="zh-CN" w:bidi="ar"/>
              </w:rPr>
              <w:t>25%</w:t>
            </w:r>
          </w:p>
        </w:tc>
        <w:tc>
          <w:tcPr>
            <w:tcW w:w="3030" w:type="dxa"/>
            <w:shd w:val="clear" w:color="auto" w:fill="FFFFFF"/>
            <w:vAlign w:val="center"/>
          </w:tcPr>
          <w:p w14:paraId="6583073B">
            <w:pPr>
              <w:keepNext/>
              <w:keepLines w:val="0"/>
              <w:widowControl/>
              <w:suppressLineNumbers w:val="0"/>
              <w:snapToGrid w:val="0"/>
              <w:ind w:left="0" w:leftChars="0" w:right="0" w:rightChars="0" w:firstLine="0" w:firstLineChars="0"/>
              <w:jc w:val="right"/>
              <w:rPr>
                <w:rFonts w:ascii="宋体" w:eastAsia="宋体"/>
                <w:b w:val="0"/>
                <w:color w:val="000000"/>
                <w:sz w:val="24"/>
              </w:rPr>
            </w:pPr>
            <w:r>
              <w:rPr>
                <w:rFonts w:ascii="宋体" w:hAnsi="宋体" w:eastAsia="宋体" w:cs="宋体"/>
                <w:b w:val="0"/>
                <w:color w:val="000000"/>
                <w:kern w:val="0"/>
                <w:sz w:val="24"/>
                <w:szCs w:val="24"/>
                <w:lang w:val="en-US" w:eastAsia="zh-CN" w:bidi="ar"/>
              </w:rPr>
              <w:t>精准切中中职学校的特殊痛点（如班主任/教学双线冲突、跨专业适配难、老教师倦怠），提出的策略高度符合中职学情。</w:t>
            </w:r>
          </w:p>
        </w:tc>
        <w:tc>
          <w:tcPr>
            <w:tcW w:w="2430" w:type="dxa"/>
            <w:shd w:val="clear" w:color="auto" w:fill="FFFFFF"/>
            <w:vAlign w:val="center"/>
          </w:tcPr>
          <w:p w14:paraId="03455564">
            <w:pPr>
              <w:keepNext/>
              <w:keepLines w:val="0"/>
              <w:widowControl/>
              <w:suppressLineNumbers w:val="0"/>
              <w:snapToGrid w:val="0"/>
              <w:ind w:left="0" w:leftChars="0" w:right="0" w:rightChars="0" w:firstLine="0" w:firstLineChars="0"/>
              <w:jc w:val="left"/>
              <w:rPr>
                <w:rFonts w:ascii="宋体" w:eastAsia="宋体"/>
                <w:b w:val="0"/>
                <w:color w:val="000000"/>
                <w:sz w:val="24"/>
              </w:rPr>
            </w:pPr>
            <w:r>
              <w:rPr>
                <w:rFonts w:ascii="宋体" w:hAnsi="宋体" w:eastAsia="宋体" w:cs="宋体"/>
                <w:b w:val="0"/>
                <w:color w:val="000000"/>
                <w:kern w:val="0"/>
                <w:sz w:val="24"/>
                <w:szCs w:val="24"/>
                <w:lang w:val="en-US" w:eastAsia="zh-CN" w:bidi="ar"/>
              </w:rPr>
              <w:t>提及了教研低效的一般性问题，但策略较为通用，缺乏对“中职”和“多部门挤占”等特定背景的深入结合。</w:t>
            </w:r>
          </w:p>
        </w:tc>
      </w:tr>
      <w:tr w14:paraId="391917EF">
        <w:trPr>
          <w:trHeight w:val="0" w:hRule="atLeast"/>
          <w:tblCellSpacing w:w="15" w:type="dxa"/>
          <w:jc w:val="center"/>
        </w:trPr>
        <w:tc>
          <w:tcPr>
            <w:tcW w:w="2552" w:type="dxa"/>
            <w:shd w:val="clear" w:color="auto" w:fill="FFFFFF"/>
            <w:vAlign w:val="center"/>
          </w:tcPr>
          <w:p w14:paraId="63C61262">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Style w:val="4"/>
                <w:rFonts w:ascii="宋体" w:hAnsi="宋体" w:eastAsia="宋体" w:cs="宋体"/>
                <w:b w:val="0"/>
                <w:color w:val="000000"/>
                <w:kern w:val="0"/>
                <w:sz w:val="24"/>
                <w:szCs w:val="24"/>
                <w:lang w:val="en-US" w:eastAsia="zh-CN" w:bidi="ar"/>
              </w:rPr>
              <w:t>闭环验证与产出效能</w:t>
            </w:r>
          </w:p>
        </w:tc>
        <w:tc>
          <w:tcPr>
            <w:tcW w:w="630" w:type="dxa"/>
            <w:shd w:val="clear" w:color="auto" w:fill="FFFFFF"/>
            <w:vAlign w:val="center"/>
          </w:tcPr>
          <w:p w14:paraId="68F1386E">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Fonts w:ascii="宋体" w:hAnsi="宋体" w:eastAsia="宋体" w:cs="宋体"/>
                <w:b w:val="0"/>
                <w:color w:val="000000"/>
                <w:kern w:val="0"/>
                <w:sz w:val="24"/>
                <w:szCs w:val="24"/>
                <w:lang w:val="en-US" w:eastAsia="zh-CN" w:bidi="ar"/>
              </w:rPr>
              <w:t>25%</w:t>
            </w:r>
          </w:p>
        </w:tc>
        <w:tc>
          <w:tcPr>
            <w:tcW w:w="3030" w:type="dxa"/>
            <w:shd w:val="clear" w:color="auto" w:fill="FFFFFF"/>
            <w:vAlign w:val="center"/>
          </w:tcPr>
          <w:p w14:paraId="03D5682A">
            <w:pPr>
              <w:keepNext/>
              <w:keepLines w:val="0"/>
              <w:widowControl/>
              <w:suppressLineNumbers w:val="0"/>
              <w:snapToGrid w:val="0"/>
              <w:ind w:left="0" w:leftChars="0" w:right="0" w:rightChars="0" w:firstLine="0" w:firstLineChars="0"/>
              <w:jc w:val="right"/>
              <w:rPr>
                <w:rFonts w:ascii="宋体" w:eastAsia="宋体"/>
                <w:b w:val="0"/>
                <w:color w:val="000000"/>
                <w:sz w:val="24"/>
              </w:rPr>
            </w:pPr>
            <w:r>
              <w:rPr>
                <w:rFonts w:ascii="宋体" w:hAnsi="宋体" w:eastAsia="宋体" w:cs="宋体"/>
                <w:b w:val="0"/>
                <w:color w:val="000000"/>
                <w:kern w:val="0"/>
                <w:sz w:val="24"/>
                <w:szCs w:val="24"/>
                <w:lang w:val="en-US" w:eastAsia="zh-CN" w:bidi="ar"/>
              </w:rPr>
              <w:t>彻底打破“听完即止”，清晰设计了“实践-&gt;复盘-&gt;证据展示”的闭环；定义的“教研产出”属于轻量级、对备课有实质帮助。</w:t>
            </w:r>
          </w:p>
        </w:tc>
        <w:tc>
          <w:tcPr>
            <w:tcW w:w="2430" w:type="dxa"/>
            <w:shd w:val="clear" w:color="auto" w:fill="FFFFFF"/>
            <w:vAlign w:val="center"/>
          </w:tcPr>
          <w:p w14:paraId="5AE210D9">
            <w:pPr>
              <w:keepNext/>
              <w:keepLines w:val="0"/>
              <w:widowControl/>
              <w:suppressLineNumbers w:val="0"/>
              <w:snapToGrid w:val="0"/>
              <w:ind w:left="0" w:leftChars="0" w:right="0" w:rightChars="0" w:firstLine="0" w:firstLineChars="0"/>
              <w:jc w:val="left"/>
              <w:rPr>
                <w:rFonts w:ascii="宋体" w:eastAsia="宋体"/>
                <w:b w:val="0"/>
                <w:color w:val="000000"/>
                <w:sz w:val="24"/>
              </w:rPr>
            </w:pPr>
            <w:r>
              <w:rPr>
                <w:rFonts w:ascii="宋体" w:hAnsi="宋体" w:eastAsia="宋体" w:cs="宋体"/>
                <w:b w:val="0"/>
                <w:color w:val="000000"/>
                <w:kern w:val="0"/>
                <w:sz w:val="24"/>
                <w:szCs w:val="24"/>
                <w:lang w:val="en-US" w:eastAsia="zh-CN" w:bidi="ar"/>
              </w:rPr>
              <w:t>提到了需要有产出或反馈，但设计的产出形式偏向传统的文字报告，容易引发教师的“反卷”抵制。</w:t>
            </w:r>
          </w:p>
        </w:tc>
      </w:tr>
      <w:tr w14:paraId="7B38ABE1">
        <w:trPr>
          <w:trHeight w:val="0" w:hRule="atLeast"/>
          <w:tblCellSpacing w:w="15" w:type="dxa"/>
          <w:jc w:val="center"/>
        </w:trPr>
        <w:tc>
          <w:tcPr>
            <w:tcW w:w="2552" w:type="dxa"/>
            <w:tcBorders>
              <w:bottom w:val="single" w:color="000000" w:sz="12" w:space="0"/>
            </w:tcBorders>
            <w:shd w:val="clear" w:color="auto" w:fill="FFFFFF"/>
            <w:vAlign w:val="center"/>
          </w:tcPr>
          <w:p w14:paraId="10551AD0">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Style w:val="4"/>
                <w:rFonts w:ascii="宋体" w:hAnsi="宋体" w:eastAsia="宋体" w:cs="宋体"/>
                <w:b w:val="0"/>
                <w:color w:val="000000"/>
                <w:kern w:val="0"/>
                <w:sz w:val="24"/>
                <w:szCs w:val="24"/>
                <w:lang w:val="en-US" w:eastAsia="zh-CN" w:bidi="ar"/>
              </w:rPr>
              <w:t>工具与策略的具体性</w:t>
            </w:r>
          </w:p>
        </w:tc>
        <w:tc>
          <w:tcPr>
            <w:tcW w:w="630" w:type="dxa"/>
            <w:tcBorders>
              <w:bottom w:val="single" w:color="000000" w:sz="12" w:space="0"/>
            </w:tcBorders>
            <w:shd w:val="clear" w:color="auto" w:fill="FFFFFF"/>
            <w:vAlign w:val="center"/>
          </w:tcPr>
          <w:p w14:paraId="4D84136A">
            <w:pPr>
              <w:keepNext/>
              <w:keepLines w:val="0"/>
              <w:widowControl/>
              <w:suppressLineNumbers w:val="0"/>
              <w:snapToGrid w:val="0"/>
              <w:ind w:left="0" w:leftChars="0" w:right="0" w:rightChars="0" w:firstLine="0" w:firstLineChars="0"/>
              <w:jc w:val="center"/>
              <w:rPr>
                <w:rFonts w:ascii="宋体" w:eastAsia="宋体"/>
                <w:b w:val="0"/>
                <w:color w:val="000000"/>
                <w:sz w:val="24"/>
              </w:rPr>
            </w:pPr>
            <w:r>
              <w:rPr>
                <w:rFonts w:ascii="宋体" w:hAnsi="宋体" w:eastAsia="宋体" w:cs="宋体"/>
                <w:b w:val="0"/>
                <w:color w:val="000000"/>
                <w:kern w:val="0"/>
                <w:sz w:val="24"/>
                <w:szCs w:val="24"/>
                <w:lang w:val="en-US" w:eastAsia="zh-CN" w:bidi="ar"/>
              </w:rPr>
              <w:t>20%</w:t>
            </w:r>
          </w:p>
        </w:tc>
        <w:tc>
          <w:tcPr>
            <w:tcW w:w="3030" w:type="dxa"/>
            <w:tcBorders>
              <w:bottom w:val="single" w:color="000000" w:sz="12" w:space="0"/>
            </w:tcBorders>
            <w:shd w:val="clear" w:color="auto" w:fill="FFFFFF"/>
            <w:vAlign w:val="center"/>
          </w:tcPr>
          <w:p w14:paraId="2073CFD3">
            <w:pPr>
              <w:keepNext/>
              <w:keepLines w:val="0"/>
              <w:widowControl/>
              <w:suppressLineNumbers w:val="0"/>
              <w:snapToGrid w:val="0"/>
              <w:ind w:left="0" w:leftChars="0" w:right="0" w:rightChars="0" w:firstLine="0" w:firstLineChars="0"/>
              <w:jc w:val="right"/>
              <w:rPr>
                <w:rFonts w:ascii="宋体" w:eastAsia="宋体"/>
                <w:b w:val="0"/>
                <w:color w:val="000000"/>
                <w:sz w:val="24"/>
              </w:rPr>
            </w:pPr>
            <w:r>
              <w:rPr>
                <w:rFonts w:ascii="宋体" w:hAnsi="宋体" w:eastAsia="宋体" w:cs="宋体"/>
                <w:b w:val="0"/>
                <w:color w:val="000000"/>
                <w:kern w:val="0"/>
                <w:sz w:val="24"/>
                <w:szCs w:val="24"/>
                <w:lang w:val="en-US" w:eastAsia="zh-CN" w:bidi="ar"/>
              </w:rPr>
              <w:t>拒绝空泛理论，直接提供立即可用的具体工具（如：话术脚本、跨专业适配表格模板、极速处理流程图、刚性规定条款）。</w:t>
            </w:r>
          </w:p>
        </w:tc>
        <w:tc>
          <w:tcPr>
            <w:tcW w:w="2430" w:type="dxa"/>
            <w:tcBorders>
              <w:bottom w:val="single" w:color="000000" w:sz="12" w:space="0"/>
            </w:tcBorders>
            <w:shd w:val="clear" w:color="auto" w:fill="FFFFFF"/>
            <w:vAlign w:val="center"/>
          </w:tcPr>
          <w:p w14:paraId="2C89DB13">
            <w:pPr>
              <w:keepNext/>
              <w:keepLines w:val="0"/>
              <w:widowControl/>
              <w:suppressLineNumbers w:val="0"/>
              <w:snapToGrid w:val="0"/>
              <w:ind w:left="0" w:leftChars="0" w:right="0" w:rightChars="0" w:firstLine="0" w:firstLineChars="0"/>
              <w:jc w:val="left"/>
              <w:rPr>
                <w:rFonts w:ascii="宋体" w:eastAsia="宋体"/>
                <w:b w:val="0"/>
                <w:color w:val="000000"/>
                <w:sz w:val="24"/>
              </w:rPr>
            </w:pPr>
            <w:r>
              <w:rPr>
                <w:rFonts w:ascii="宋体" w:hAnsi="宋体" w:eastAsia="宋体" w:cs="宋体"/>
                <w:b w:val="0"/>
                <w:color w:val="000000"/>
                <w:kern w:val="0"/>
                <w:sz w:val="24"/>
                <w:szCs w:val="24"/>
                <w:lang w:val="en-US" w:eastAsia="zh-CN" w:bidi="ar"/>
              </w:rPr>
              <w:t>提供了解决思路或方向指导，但未给出具体实现路径或现成的模板/话术，仍依赖使用者自身去细化。</w:t>
            </w:r>
          </w:p>
        </w:tc>
      </w:tr>
    </w:tbl>
    <w:p w14:paraId="4BF7D671">
      <w:pPr>
        <w:rPr>
          <w:rFonts w:hint="eastAsia"/>
        </w:rPr>
      </w:pPr>
    </w:p>
    <w:p w14:paraId="02FC3148">
      <w:pPr>
        <w:rPr>
          <w:rFonts w:hint="eastAsia"/>
        </w:rPr>
      </w:pPr>
    </w:p>
    <w:p w14:paraId="22868281">
      <w:pPr>
        <w:rPr>
          <w:rFonts w:hint="eastAsia"/>
        </w:rPr>
      </w:pPr>
      <w:r>
        <w:rPr>
          <w:rFonts w:hint="eastAsia"/>
        </w:rPr>
        <w:t>6、案例对比</w:t>
      </w:r>
    </w:p>
    <w:p w14:paraId="19B96DB1">
      <w:pPr>
        <w:rPr>
          <w:rFonts w:hint="eastAsia"/>
        </w:rPr>
      </w:pPr>
    </w:p>
    <w:p w14:paraId="5750F110">
      <w:pPr>
        <w:rPr>
          <w:rFonts w:hint="eastAsia"/>
        </w:rPr>
      </w:pPr>
      <w:r>
        <w:rPr>
          <w:rFonts w:hint="eastAsia"/>
        </w:rPr>
        <w:t>正面案例（专家推荐的有效做法）： “数学教研组在进行《三角函数》集中备课后，留出20分钟专项环节，邀请数控专业教师加入，共同探讨如何将该知识点转化为数控车床编程中的具体图纸计算任务，并要求每位教师产出一份对应专业的课后练习题库。”</w:t>
      </w:r>
    </w:p>
    <w:p w14:paraId="6D18FB3F">
      <w:pPr>
        <w:rPr>
          <w:rFonts w:hint="eastAsia"/>
        </w:rPr>
      </w:pPr>
      <w:r>
        <w:rPr>
          <w:rFonts w:hint="eastAsia"/>
        </w:rPr>
        <w:t>反面案例（容易触发的典型误区/机械回应）： “教研组长花了30分钟传达学校近期的防疫和卫生大扫除通知，接着通报了几个班级学生早读迟到的现象，最后老教师抱怨了几句学生基础差，会议在闲聊中结束。整个过程没有探讨任何具体的教学重难点。”</w:t>
      </w:r>
    </w:p>
    <w:p w14:paraId="37F37E4B">
      <w:pPr>
        <w:rPr>
          <w:rFonts w:hint="eastAsia"/>
        </w:rPr>
      </w:pPr>
      <w:r>
        <w:rPr>
          <w:rFonts w:hint="eastAsia"/>
        </w:rPr>
        <w:t>7、规范依据</w:t>
      </w:r>
    </w:p>
    <w:p w14:paraId="581A9EC5">
      <w:pPr>
        <w:rPr>
          <w:rFonts w:hint="eastAsia"/>
        </w:rPr>
      </w:pPr>
    </w:p>
    <w:p w14:paraId="6C961884">
      <w:pPr>
        <w:rPr>
          <w:rFonts w:hint="eastAsia"/>
        </w:rPr>
      </w:pPr>
      <w:r>
        <w:rPr>
          <w:rFonts w:hint="eastAsia"/>
        </w:rPr>
        <w:t>《国家职业教育改革实施方案》（国发〔2019〕4号）</w:t>
      </w:r>
    </w:p>
    <w:p w14:paraId="049ECAF8">
      <w:pPr>
        <w:rPr>
          <w:rFonts w:hint="eastAsia"/>
        </w:rPr>
      </w:pPr>
      <w:r>
        <w:rPr>
          <w:rFonts w:hint="eastAsia"/>
        </w:rPr>
        <w:t>《教育部关于加强中等职业学校教学管理工作的意见》</w:t>
      </w:r>
    </w:p>
    <w:p w14:paraId="7D6E294C">
      <w:pPr>
        <w:rPr>
          <w:rFonts w:hint="eastAsia"/>
        </w:rPr>
      </w:pPr>
      <w:r>
        <w:rPr>
          <w:rFonts w:hint="eastAsia"/>
        </w:rPr>
        <w:t>《中共中央 国务院关于全面深化新时代教师队伍建设改革的意见》 （Agent 输出机制设定时，需符合上述文件中关于深化教改、提升职业教育教学质量的精神）</w:t>
      </w:r>
    </w:p>
    <w:p w14:paraId="5D96B44A">
      <w:pPr>
        <w:rPr>
          <w:rFonts w:hint="eastAsia"/>
        </w:rPr>
      </w:pPr>
      <w:r>
        <w:rPr>
          <w:rFonts w:hint="eastAsia"/>
        </w:rPr>
        <w:t>8、测评问题</w:t>
      </w:r>
      <w:bookmarkStart w:id="0" w:name="_GoBack"/>
      <w:bookmarkEnd w:id="0"/>
    </w:p>
    <w:p w14:paraId="126D15D4">
      <w:pPr>
        <w:rPr>
          <w:rFonts w:hint="eastAsia" w:eastAsiaTheme="minorEastAsia"/>
          <w:lang w:eastAsia="zh-CN"/>
        </w:rPr>
      </w:pPr>
      <w:r>
        <w:rPr>
          <w:rFonts w:hint="eastAsia"/>
        </w:rPr>
        <w:t>专家使用此文档生成 Agent 后，可通过以下 10 个角色代入式问题测试其专业水平</w:t>
      </w:r>
      <w:r>
        <w:rPr>
          <w:rFonts w:hint="eastAsia"/>
          <w:lang w:eastAsia="zh-CN"/>
        </w:rPr>
        <w:t>：</w:t>
      </w:r>
    </w:p>
    <w:p w14:paraId="5DDB26A6">
      <w:pPr>
        <w:rPr>
          <w:rFonts w:hint="eastAsia"/>
        </w:rPr>
      </w:pPr>
    </w:p>
    <w:p w14:paraId="78F3CE4E">
      <w:pPr>
        <w:rPr>
          <w:rFonts w:hint="eastAsia"/>
        </w:rPr>
      </w:pPr>
      <w:r>
        <w:rPr>
          <w:rFonts w:hint="eastAsia"/>
        </w:rPr>
        <w:t>情景1：防挤占的替代机制</w:t>
      </w:r>
    </w:p>
    <w:p w14:paraId="35BF98AB">
      <w:pPr>
        <w:rPr>
          <w:rFonts w:hint="eastAsia"/>
        </w:rPr>
      </w:pPr>
      <w:r>
        <w:rPr>
          <w:rFonts w:hint="eastAsia"/>
        </w:rPr>
        <w:t>教务主任问：“下周二下午的固定教研时间，学校党委和工会临时安排了重要活动，不可避免地冲突了。作为管理者，我该怎样设计一个‘补偿性教研’替代方案，既能保证教研进行，又绝对不增加教师额外的下班休息时间？”</w:t>
      </w:r>
    </w:p>
    <w:p w14:paraId="5D88B3D9">
      <w:pPr>
        <w:rPr>
          <w:rFonts w:hint="eastAsia"/>
        </w:rPr>
      </w:pPr>
    </w:p>
    <w:p w14:paraId="48C13EFC">
      <w:pPr>
        <w:rPr>
          <w:rFonts w:hint="eastAsia"/>
        </w:rPr>
      </w:pPr>
      <w:r>
        <w:rPr>
          <w:rFonts w:hint="eastAsia"/>
        </w:rPr>
        <w:t>情景2：会议跑偏的控场话术</w:t>
      </w:r>
    </w:p>
    <w:p w14:paraId="3D954B8A">
      <w:pPr>
        <w:rPr>
          <w:rFonts w:hint="eastAsia"/>
        </w:rPr>
      </w:pPr>
      <w:r>
        <w:rPr>
          <w:rFonts w:hint="eastAsia"/>
        </w:rPr>
        <w:t>教研组长说：“每次开会，我刚抛出一个教学问题，大家就开始吐槽学生底子太差，随后演变成对班级纪律的批斗会。请给我提供一套具体的主持话术和会议规则，让我能强行且不生硬地把话题拉回专业研讨上。”</w:t>
      </w:r>
    </w:p>
    <w:p w14:paraId="188EEDC3">
      <w:pPr>
        <w:rPr>
          <w:rFonts w:hint="eastAsia"/>
        </w:rPr>
      </w:pPr>
    </w:p>
    <w:p w14:paraId="6EC7370E">
      <w:pPr>
        <w:rPr>
          <w:rFonts w:hint="eastAsia"/>
        </w:rPr>
      </w:pPr>
      <w:r>
        <w:rPr>
          <w:rFonts w:hint="eastAsia"/>
        </w:rPr>
        <w:t>情景3：资深教师的动力激发</w:t>
      </w:r>
    </w:p>
    <w:p w14:paraId="3386F3A2">
      <w:pPr>
        <w:rPr>
          <w:rFonts w:hint="eastAsia"/>
        </w:rPr>
      </w:pPr>
      <w:r>
        <w:rPr>
          <w:rFonts w:hint="eastAsia"/>
        </w:rPr>
        <w:t>教研组长说：“组里有几位快退休的资深专业课老教师，他们总觉得自己‘专业技术见底了，没什么好探讨的’。我应该怎样设计‘微型教研任务’，让他们觉得参会有价值，并且愿意主动分享？”</w:t>
      </w:r>
    </w:p>
    <w:p w14:paraId="1AE30B33">
      <w:pPr>
        <w:rPr>
          <w:rFonts w:hint="eastAsia"/>
        </w:rPr>
      </w:pPr>
    </w:p>
    <w:p w14:paraId="792C7592">
      <w:pPr>
        <w:rPr>
          <w:rFonts w:hint="eastAsia"/>
        </w:rPr>
      </w:pPr>
      <w:r>
        <w:rPr>
          <w:rFonts w:hint="eastAsia"/>
        </w:rPr>
        <w:t>情景4：跨学科的学情适配</w:t>
      </w:r>
    </w:p>
    <w:p w14:paraId="799DAAE4">
      <w:pPr>
        <w:rPr>
          <w:rFonts w:hint="eastAsia"/>
        </w:rPr>
      </w:pPr>
      <w:r>
        <w:rPr>
          <w:rFonts w:hint="eastAsia"/>
        </w:rPr>
        <w:t>数学教研组长问：“我们中职数学课统一进度备课，导致去不同专业上课‘水土不服’。请为我们组设计一张《公共课跨专业适配研讨表（模板）》，强制要求老师在教研时思考不同专业（如数控、汽修、幼师）的学情差异。”</w:t>
      </w:r>
    </w:p>
    <w:p w14:paraId="0DF44F37">
      <w:pPr>
        <w:rPr>
          <w:rFonts w:hint="eastAsia"/>
        </w:rPr>
      </w:pPr>
    </w:p>
    <w:p w14:paraId="48047EFD">
      <w:pPr>
        <w:rPr>
          <w:rFonts w:hint="eastAsia"/>
        </w:rPr>
      </w:pPr>
      <w:r>
        <w:rPr>
          <w:rFonts w:hint="eastAsia"/>
        </w:rPr>
        <w:t>情景5：行政杂务的极速剥离</w:t>
      </w:r>
    </w:p>
    <w:p w14:paraId="537CA47D">
      <w:pPr>
        <w:rPr>
          <w:rFonts w:hint="eastAsia"/>
        </w:rPr>
      </w:pPr>
      <w:r>
        <w:rPr>
          <w:rFonts w:hint="eastAsia"/>
        </w:rPr>
        <w:t>教研组长说：“很多学校层面的行政通知不得不发，但极其占用教研时间。请给我制定一套‘教研会前10分钟行政事务极速处理规范’，明确哪些能在群里发，哪些必须会上说，怎么说最快。”</w:t>
      </w:r>
    </w:p>
    <w:p w14:paraId="39AD6045">
      <w:pPr>
        <w:rPr>
          <w:rFonts w:hint="eastAsia"/>
        </w:rPr>
      </w:pPr>
    </w:p>
    <w:p w14:paraId="46292923">
      <w:pPr>
        <w:rPr>
          <w:rFonts w:hint="eastAsia"/>
        </w:rPr>
      </w:pPr>
      <w:r>
        <w:rPr>
          <w:rFonts w:hint="eastAsia"/>
        </w:rPr>
        <w:t>情景6：教研闭环的复盘设计</w:t>
      </w:r>
    </w:p>
    <w:p w14:paraId="42E811AA">
      <w:pPr>
        <w:rPr>
          <w:rFonts w:hint="eastAsia"/>
        </w:rPr>
      </w:pPr>
      <w:r>
        <w:rPr>
          <w:rFonts w:hint="eastAsia"/>
        </w:rPr>
        <w:t>教研组长问：“上周我们教研的主题是‘项目式教学的课堂导入设计’，专家说教研必须有闭环验证。请为我设计本周教研会开场前15分钟的‘复盘与证据展示’环节，具体怎么操作？”</w:t>
      </w:r>
    </w:p>
    <w:p w14:paraId="2B32D311">
      <w:pPr>
        <w:rPr>
          <w:rFonts w:hint="eastAsia"/>
        </w:rPr>
      </w:pPr>
    </w:p>
    <w:p w14:paraId="6A5829ED">
      <w:pPr>
        <w:rPr>
          <w:rFonts w:hint="eastAsia"/>
        </w:rPr>
      </w:pPr>
      <w:r>
        <w:rPr>
          <w:rFonts w:hint="eastAsia"/>
        </w:rPr>
        <w:t>情景7：双线并行的冲突化解</w:t>
      </w:r>
    </w:p>
    <w:p w14:paraId="034754E1">
      <w:pPr>
        <w:rPr>
          <w:rFonts w:hint="eastAsia"/>
        </w:rPr>
      </w:pPr>
      <w:r>
        <w:rPr>
          <w:rFonts w:hint="eastAsia"/>
        </w:rPr>
        <w:t>教学副校长问：“我们很多核心骨干教师既是专业主力，又是班主任。教研时段他们经常被叫去处理学生打架等突发纠纷。从学校教务与政教协同的管理机制上，我该如何设计一条规则来缓解这个冲突，保住他们的教研时间？”</w:t>
      </w:r>
    </w:p>
    <w:p w14:paraId="41F290FE">
      <w:pPr>
        <w:rPr>
          <w:rFonts w:hint="eastAsia"/>
        </w:rPr>
      </w:pPr>
    </w:p>
    <w:p w14:paraId="7C638713">
      <w:pPr>
        <w:rPr>
          <w:rFonts w:hint="eastAsia"/>
        </w:rPr>
      </w:pPr>
      <w:r>
        <w:rPr>
          <w:rFonts w:hint="eastAsia"/>
        </w:rPr>
        <w:t>情景8：轻量化产出的界定</w:t>
      </w:r>
    </w:p>
    <w:p w14:paraId="000F8304">
      <w:pPr>
        <w:rPr>
          <w:rFonts w:hint="eastAsia"/>
        </w:rPr>
      </w:pPr>
      <w:r>
        <w:rPr>
          <w:rFonts w:hint="eastAsia"/>
        </w:rPr>
        <w:t>教务主任说：“我要求每次教研必须有‘产出’，结果老师们觉得又要写报告，集体抵制抗议‘太卷了’。我该如何重新向老师们定义并举例说明‘轻量级、对备课有直接帮助的教研证据’？”</w:t>
      </w:r>
    </w:p>
    <w:p w14:paraId="2FDEE4D8">
      <w:pPr>
        <w:rPr>
          <w:rFonts w:hint="eastAsia"/>
        </w:rPr>
      </w:pPr>
    </w:p>
    <w:p w14:paraId="208857B5">
      <w:pPr>
        <w:rPr>
          <w:rFonts w:hint="eastAsia"/>
        </w:rPr>
      </w:pPr>
      <w:r>
        <w:rPr>
          <w:rFonts w:hint="eastAsia"/>
        </w:rPr>
        <w:t>情景9：刚性制度的条款起草</w:t>
      </w:r>
    </w:p>
    <w:p w14:paraId="11B86B0A">
      <w:pPr>
        <w:rPr>
          <w:rFonts w:hint="eastAsia"/>
        </w:rPr>
      </w:pPr>
      <w:r>
        <w:rPr>
          <w:rFonts w:hint="eastAsia"/>
        </w:rPr>
        <w:t>校长说：“为了彻底解决教研被挤占的问题，我需要在下周的全校大会上颁布一项铁律。请根据‘保时间、转内容、重产出’的精神，为我起草一份500字左右的《关于严禁挤占业务教研时间的校级刚性规定》核心条款。”</w:t>
      </w:r>
    </w:p>
    <w:p w14:paraId="6B4724F3">
      <w:pPr>
        <w:rPr>
          <w:rFonts w:hint="eastAsia"/>
        </w:rPr>
      </w:pPr>
    </w:p>
    <w:p w14:paraId="1E4A86FC">
      <w:pPr>
        <w:rPr>
          <w:rFonts w:hint="eastAsia"/>
        </w:rPr>
      </w:pPr>
      <w:r>
        <w:rPr>
          <w:rFonts w:hint="eastAsia"/>
        </w:rPr>
        <w:t>情景10：去行政化的客观评估</w:t>
      </w:r>
    </w:p>
    <w:p w14:paraId="049DBB16">
      <w:r>
        <w:rPr>
          <w:rFonts w:hint="eastAsia"/>
        </w:rPr>
        <w:t>校长问：“如果学校实行了你的‘教研去行政化优化机制’一整个学期，期末评估时，我不能看教研组长写的总结报告。我应该去查哪3个最核心的‘非报告类’客观证据或数据指标，来判断教研真的走向专业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6F9CAC"/>
    <w:rsid w:val="3FFA30A7"/>
    <w:rsid w:val="5F6F9CAC"/>
    <w:rsid w:val="7BFF71E4"/>
    <w:rsid w:val="EFCD8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2026-04-28T05:01:00Z</dcterms:created>
  <dc:creator>Sakura酱</dc:creator>
  <cp:lastModifiedBy>Sakura酱</cp:lastModifiedBy>
  <dcterms:modified xsi:type="dcterms:W3CDTF">2026-05-05T13:42:44Z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E357FB0D77E513AFACEDEE69620BA0A3_41</vt:lpwstr>
  </property>
</Properties>
</file>