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5C11CC">
      <w:pPr>
        <w:rPr>
          <w:rFonts w:hint="eastAsia"/>
        </w:rPr>
      </w:pPr>
      <w:r>
        <w:rPr>
          <w:rFonts w:hint="eastAsia"/>
        </w:rPr>
        <w:t>教育任务描述文件</w:t>
      </w:r>
    </w:p>
    <w:p w14:paraId="6E4BE55F">
      <w:pPr>
        <w:rPr>
          <w:rFonts w:hint="eastAsia"/>
        </w:rPr>
      </w:pPr>
    </w:p>
    <w:p w14:paraId="13A3F62D">
      <w:pPr>
        <w:rPr>
          <w:rFonts w:hint="eastAsia"/>
        </w:rPr>
      </w:pPr>
      <w:r>
        <w:rPr>
          <w:rFonts w:hint="eastAsia"/>
        </w:rPr>
        <w:t>1、任务名称</w:t>
      </w:r>
    </w:p>
    <w:p w14:paraId="0C55C0B6">
      <w:pPr>
        <w:rPr>
          <w:rFonts w:hint="eastAsia"/>
        </w:rPr>
      </w:pPr>
      <w:r>
        <w:rPr>
          <w:rFonts w:hint="eastAsia"/>
        </w:rPr>
        <w:t>中职教师教学设计问题的多渠道诊断与分层归因</w:t>
      </w:r>
    </w:p>
    <w:p w14:paraId="784415D2">
      <w:pPr>
        <w:rPr>
          <w:rFonts w:hint="eastAsia"/>
        </w:rPr>
      </w:pPr>
    </w:p>
    <w:p w14:paraId="1692D86C">
      <w:pPr>
        <w:rPr>
          <w:rFonts w:hint="eastAsia"/>
        </w:rPr>
      </w:pPr>
      <w:r>
        <w:rPr>
          <w:rFonts w:hint="eastAsia"/>
        </w:rPr>
        <w:t>2、触发情景</w:t>
      </w:r>
    </w:p>
    <w:p w14:paraId="693C9F8F">
      <w:pPr>
        <w:rPr>
          <w:rFonts w:hint="eastAsia"/>
        </w:rPr>
      </w:pPr>
    </w:p>
    <w:p w14:paraId="19A61310">
      <w:pPr>
        <w:rPr>
          <w:rFonts w:hint="eastAsia"/>
        </w:rPr>
      </w:pPr>
      <w:r>
        <w:rPr>
          <w:rFonts w:hint="eastAsia"/>
        </w:rPr>
        <w:t>适用学段：中职学校（涵盖普通中专、中高贯通、中本贯通项目）。</w:t>
      </w:r>
    </w:p>
    <w:p w14:paraId="11A42DCE">
      <w:pPr>
        <w:rPr>
          <w:rFonts w:hint="eastAsia"/>
        </w:rPr>
      </w:pPr>
      <w:r>
        <w:rPr>
          <w:rFonts w:hint="eastAsia"/>
        </w:rPr>
        <w:t>环境限定：教学管理者或教研组长在进行教学质量巡查、听评课或期中/期末质量分析时。</w:t>
      </w:r>
    </w:p>
    <w:p w14:paraId="11AD1DB3">
      <w:pPr>
        <w:rPr>
          <w:rFonts w:hint="eastAsia"/>
        </w:rPr>
      </w:pPr>
      <w:r>
        <w:rPr>
          <w:rFonts w:hint="eastAsia"/>
        </w:rPr>
        <w:t>任务意图：当发现教学质量未达预期时，引导智能体（Agent）帮助管理者整合“听课、问卷、成绩、作业”等多渠道数据，准确诊断问题所在，区分是“个别教师、教研组共性还是贯通机制”层面的问题，并输出不增加额外负担的整改落地方案。</w:t>
      </w:r>
    </w:p>
    <w:p w14:paraId="1BEF90FB">
      <w:pPr>
        <w:rPr>
          <w:rFonts w:hint="eastAsia"/>
        </w:rPr>
      </w:pPr>
      <w:r>
        <w:rPr>
          <w:rFonts w:hint="eastAsia"/>
        </w:rPr>
        <w:t>3、核心问题</w:t>
      </w:r>
    </w:p>
    <w:p w14:paraId="7380EDB5">
      <w:pPr>
        <w:rPr>
          <w:rFonts w:hint="eastAsia"/>
        </w:rPr>
      </w:pPr>
      <w:r>
        <w:rPr>
          <w:rFonts w:hint="eastAsia"/>
        </w:rPr>
        <w:t>中职真实的教学现场中，反复出现以下四大隐性挑战：</w:t>
      </w:r>
    </w:p>
    <w:p w14:paraId="1336DB94">
      <w:pPr>
        <w:rPr>
          <w:rFonts w:hint="eastAsia"/>
        </w:rPr>
      </w:pPr>
    </w:p>
    <w:p w14:paraId="2155B76C">
      <w:pPr>
        <w:rPr>
          <w:rFonts w:hint="eastAsia"/>
        </w:rPr>
      </w:pPr>
      <w:r>
        <w:rPr>
          <w:rFonts w:hint="eastAsia"/>
        </w:rPr>
        <w:t>学情分析虚无化：部分老教师“三十年如一日”使用同一种教法，对当前中职生的个性化学情一无所知；教案上的“重难点”往往只有敷衍的一句话，一追问依据就答不上来。</w:t>
      </w:r>
    </w:p>
    <w:p w14:paraId="64AC5321">
      <w:pPr>
        <w:rPr>
          <w:rFonts w:hint="eastAsia"/>
        </w:rPr>
      </w:pPr>
      <w:r>
        <w:rPr>
          <w:rFonts w:hint="eastAsia"/>
        </w:rPr>
        <w:t>作业设计被AI“秒杀”：教师长期布置固定答案的死记硬背型作业，导致学生直接上网搜，或用DeepSeek等AI工具秒出答案，作业沦为形式，抄袭泛滥。</w:t>
      </w:r>
    </w:p>
    <w:p w14:paraId="37E8FAE4">
      <w:pPr>
        <w:rPr>
          <w:rFonts w:hint="eastAsia"/>
        </w:rPr>
      </w:pPr>
      <w:r>
        <w:rPr>
          <w:rFonts w:hint="eastAsia"/>
        </w:rPr>
        <w:t>公共课与专业课“两张皮”：公共课（如数学）教师只管照本宣科完成大纲，对不同专业（如数控、计算机、财会）的学生采取“一刀切”，完全不考虑跨专业的适配性与侧重点。</w:t>
      </w:r>
    </w:p>
    <w:p w14:paraId="2784559F">
      <w:pPr>
        <w:rPr>
          <w:rFonts w:hint="eastAsia"/>
        </w:rPr>
      </w:pPr>
      <w:r>
        <w:rPr>
          <w:rFonts w:hint="eastAsia"/>
        </w:rPr>
        <w:t>贯通培养知识断层：中高贯通项目中，中专段没选修“数列”，高职段的高数却直接默认学生会数列。教师明知脱节，却让基础薄弱的学生“自己去看”，缺乏学段间的沟通机制。</w:t>
      </w:r>
    </w:p>
    <w:p w14:paraId="11AF8D9F">
      <w:pPr>
        <w:rPr>
          <w:rFonts w:hint="eastAsia"/>
        </w:rPr>
      </w:pPr>
      <w:r>
        <w:rPr>
          <w:rFonts w:hint="eastAsia"/>
        </w:rPr>
        <w:t>4、解决方案（工作流设计）</w:t>
      </w:r>
    </w:p>
    <w:p w14:paraId="69F2D965">
      <w:pPr>
        <w:rPr>
          <w:rFonts w:hint="eastAsia"/>
        </w:rPr>
      </w:pPr>
      <w:r>
        <w:rPr>
          <w:rFonts w:hint="eastAsia"/>
        </w:rPr>
        <w:t>本方案需引导执行者采取“多源取证 + 分层定性 + 跨界共研 + 成果固化”的工作流：</w:t>
      </w:r>
    </w:p>
    <w:p w14:paraId="4B031489">
      <w:pPr>
        <w:rPr>
          <w:rFonts w:hint="eastAsia"/>
        </w:rPr>
      </w:pPr>
    </w:p>
    <w:p w14:paraId="75AE61C9">
      <w:pPr>
        <w:rPr>
          <w:rFonts w:hint="eastAsia"/>
        </w:rPr>
      </w:pPr>
      <w:r>
        <w:rPr>
          <w:rFonts w:hint="eastAsia"/>
        </w:rPr>
        <w:t>线性流（多渠道诊断）：不再单一依赖听课。将“校内外听课 + 学生问卷 + 考试/实操成绩数据 + 作业抄袭情况”四网合一，交叉比对，锁定真实薄弱点。</w:t>
      </w:r>
    </w:p>
    <w:p w14:paraId="7D936931">
      <w:pPr>
        <w:rPr>
          <w:rFonts w:hint="eastAsia"/>
        </w:rPr>
      </w:pPr>
      <w:r>
        <w:rPr>
          <w:rFonts w:hint="eastAsia"/>
        </w:rPr>
        <w:t>分支流（分层归因与对策）： 个别教师分支：针对教案敷衍、学情不清，开展精准骨干带教，追问依据。 教研组共性分支：针对公共课一刀切，邀请各专业骨干教师加入公共课教研，“跨界”划定不同专业的知识详略。 贯通机制分支：建立中专与高职教师的“双向互听课”与前置知识对齐机制。</w:t>
      </w:r>
    </w:p>
    <w:p w14:paraId="17A5D47C">
      <w:pPr>
        <w:rPr>
          <w:rFonts w:hint="eastAsia"/>
        </w:rPr>
      </w:pPr>
      <w:r>
        <w:rPr>
          <w:rFonts w:hint="eastAsia"/>
        </w:rPr>
        <w:t>循环流（防抄袭与复盘）：针对固定答案作业，引入过程性、开放式任务设计；实践验证改进措施后，将有效做法（如跨专业数学情境题库）沉淀为校本资源。</w:t>
      </w:r>
    </w:p>
    <w:p w14:paraId="294C43E7">
      <w:pPr>
        <w:numPr>
          <w:ilvl w:val="0"/>
          <w:numId w:val="1"/>
        </w:numPr>
        <w:rPr>
          <w:rFonts w:hint="eastAsia"/>
        </w:rPr>
      </w:pPr>
      <w:r>
        <w:rPr>
          <w:rFonts w:hint="eastAsia"/>
        </w:rPr>
        <w:t>评价准则</w:t>
      </w:r>
    </w:p>
    <w:p w14:paraId="0DE5810E">
      <w:pPr>
        <w:widowControl w:val="0"/>
        <w:numPr>
          <w:numId w:val="0"/>
        </w:numPr>
        <w:jc w:val="both"/>
        <w:rPr>
          <w:rFonts w:hint="eastAsia"/>
        </w:rPr>
      </w:pPr>
      <w:r>
        <w:rPr>
          <w:rFonts w:hint="eastAsia"/>
        </w:rPr>
        <w:t>对智能体输出方案的评价：</w:t>
      </w:r>
    </w:p>
    <w:tbl>
      <w:tblPr>
        <w:tblW w:w="0" w:type="auto"/>
        <w:jc w:val="center"/>
        <w:tblCellSpacing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692"/>
        <w:gridCol w:w="490"/>
        <w:gridCol w:w="3877"/>
        <w:gridCol w:w="3337"/>
      </w:tblGrid>
      <w:tr w14:paraId="271E38F8">
        <w:trPr>
          <w:tblHeader/>
          <w:tblCellSpacing w:w="15" w:type="dxa"/>
          <w:jc w:val="center"/>
        </w:trPr>
        <w:tc>
          <w:tcPr>
            <w:tcW w:w="0" w:type="auto"/>
            <w:tcBorders>
              <w:top w:val="single" w:color="000000" w:sz="12" w:space="0"/>
              <w:bottom w:val="single" w:color="000000" w:sz="4" w:space="0"/>
              <w:tl2br w:val="nil"/>
            </w:tcBorders>
            <w:shd w:val="clear" w:color="auto" w:fill="FFFFFF"/>
            <w:vAlign w:val="center"/>
          </w:tcPr>
          <w:p w14:paraId="78530348">
            <w:pPr>
              <w:keepNext w:val="0"/>
              <w:keepLines w:val="0"/>
              <w:widowControl/>
              <w:suppressLineNumbers w:val="0"/>
              <w:jc w:val="left"/>
              <w:rPr>
                <w:b w:val="0"/>
                <w:bCs/>
                <w:color w:val="000000"/>
              </w:rPr>
            </w:pPr>
            <w:r>
              <w:rPr>
                <w:rFonts w:ascii="宋体" w:hAnsi="宋体" w:eastAsia="宋体" w:cs="宋体"/>
                <w:b w:val="0"/>
                <w:bCs/>
                <w:color w:val="000000"/>
                <w:kern w:val="0"/>
                <w:sz w:val="24"/>
                <w:szCs w:val="24"/>
                <w:lang w:val="en-US" w:eastAsia="zh-CN" w:bidi="ar"/>
              </w:rPr>
              <w:t>维度</w:t>
            </w:r>
          </w:p>
        </w:tc>
        <w:tc>
          <w:tcPr>
            <w:tcW w:w="0" w:type="auto"/>
            <w:tcBorders>
              <w:top w:val="single" w:color="000000" w:sz="12" w:space="0"/>
              <w:bottom w:val="single" w:color="000000" w:sz="4" w:space="0"/>
            </w:tcBorders>
            <w:shd w:val="clear" w:color="auto" w:fill="FFFFFF"/>
            <w:vAlign w:val="center"/>
          </w:tcPr>
          <w:p w14:paraId="5BB49C44">
            <w:pPr>
              <w:keepNext w:val="0"/>
              <w:keepLines w:val="0"/>
              <w:widowControl/>
              <w:suppressLineNumbers w:val="0"/>
              <w:jc w:val="left"/>
              <w:rPr>
                <w:b w:val="0"/>
                <w:bCs/>
                <w:color w:val="000000"/>
              </w:rPr>
            </w:pPr>
            <w:r>
              <w:rPr>
                <w:rFonts w:ascii="宋体" w:hAnsi="宋体" w:eastAsia="宋体" w:cs="宋体"/>
                <w:b w:val="0"/>
                <w:bCs/>
                <w:color w:val="000000"/>
                <w:kern w:val="0"/>
                <w:sz w:val="24"/>
                <w:szCs w:val="24"/>
                <w:lang w:val="en-US" w:eastAsia="zh-CN" w:bidi="ar"/>
              </w:rPr>
              <w:t>权重</w:t>
            </w:r>
          </w:p>
        </w:tc>
        <w:tc>
          <w:tcPr>
            <w:tcW w:w="0" w:type="auto"/>
            <w:tcBorders>
              <w:top w:val="single" w:color="000000" w:sz="12" w:space="0"/>
              <w:bottom w:val="single" w:color="000000" w:sz="4" w:space="0"/>
            </w:tcBorders>
            <w:shd w:val="clear" w:color="auto" w:fill="FFFFFF"/>
            <w:vAlign w:val="center"/>
          </w:tcPr>
          <w:p w14:paraId="0EFF6249">
            <w:pPr>
              <w:keepNext w:val="0"/>
              <w:keepLines w:val="0"/>
              <w:widowControl/>
              <w:suppressLineNumbers w:val="0"/>
              <w:jc w:val="left"/>
              <w:rPr>
                <w:b w:val="0"/>
                <w:bCs/>
                <w:color w:val="000000"/>
              </w:rPr>
            </w:pPr>
            <w:r>
              <w:rPr>
                <w:rFonts w:ascii="宋体" w:hAnsi="宋体" w:eastAsia="宋体" w:cs="宋体"/>
                <w:b w:val="0"/>
                <w:bCs/>
                <w:color w:val="000000"/>
                <w:kern w:val="0"/>
                <w:sz w:val="24"/>
                <w:szCs w:val="24"/>
                <w:lang w:val="en-US" w:eastAsia="zh-CN" w:bidi="ar"/>
              </w:rPr>
              <w:t>优秀（A）</w:t>
            </w:r>
          </w:p>
        </w:tc>
        <w:tc>
          <w:tcPr>
            <w:tcW w:w="0" w:type="auto"/>
            <w:tcBorders>
              <w:top w:val="single" w:color="000000" w:sz="12" w:space="0"/>
              <w:bottom w:val="single" w:color="000000" w:sz="4" w:space="0"/>
            </w:tcBorders>
            <w:shd w:val="clear" w:color="auto" w:fill="FFFFFF"/>
            <w:vAlign w:val="center"/>
          </w:tcPr>
          <w:p w14:paraId="36B506C5">
            <w:pPr>
              <w:keepNext w:val="0"/>
              <w:keepLines w:val="0"/>
              <w:widowControl/>
              <w:suppressLineNumbers w:val="0"/>
              <w:jc w:val="left"/>
              <w:rPr>
                <w:b w:val="0"/>
                <w:bCs/>
                <w:color w:val="000000"/>
              </w:rPr>
            </w:pPr>
            <w:r>
              <w:rPr>
                <w:rFonts w:ascii="宋体" w:hAnsi="宋体" w:eastAsia="宋体" w:cs="宋体"/>
                <w:b w:val="0"/>
                <w:bCs/>
                <w:color w:val="000000"/>
                <w:kern w:val="0"/>
                <w:sz w:val="24"/>
                <w:szCs w:val="24"/>
                <w:lang w:val="en-US" w:eastAsia="zh-CN" w:bidi="ar"/>
              </w:rPr>
              <w:t>合格（B）</w:t>
            </w:r>
          </w:p>
        </w:tc>
      </w:tr>
      <w:tr w14:paraId="7F775F52">
        <w:trPr>
          <w:tblCellSpacing w:w="15" w:type="dxa"/>
          <w:jc w:val="center"/>
        </w:trPr>
        <w:tc>
          <w:tcPr>
            <w:tcW w:w="0" w:type="auto"/>
            <w:tcBorders>
              <w:top w:val="single" w:color="000000" w:sz="4" w:space="0"/>
            </w:tcBorders>
            <w:shd w:val="clear" w:color="auto" w:fill="FFFFFF"/>
            <w:vAlign w:val="center"/>
          </w:tcPr>
          <w:p w14:paraId="6AB57EDF">
            <w:pPr>
              <w:keepNext w:val="0"/>
              <w:keepLines w:val="0"/>
              <w:widowControl/>
              <w:suppressLineNumbers w:val="0"/>
              <w:jc w:val="left"/>
              <w:rPr>
                <w:b w:val="0"/>
                <w:color w:val="000000"/>
              </w:rPr>
            </w:pPr>
            <w:r>
              <w:rPr>
                <w:rStyle w:val="4"/>
                <w:rFonts w:ascii="宋体" w:hAnsi="宋体" w:eastAsia="宋体" w:cs="宋体"/>
                <w:b w:val="0"/>
                <w:color w:val="000000"/>
                <w:kern w:val="0"/>
                <w:sz w:val="24"/>
                <w:szCs w:val="24"/>
                <w:lang w:val="en-US" w:eastAsia="zh-CN" w:bidi="ar"/>
              </w:rPr>
              <w:t>多源互证与诊断精准度</w:t>
            </w:r>
          </w:p>
        </w:tc>
        <w:tc>
          <w:tcPr>
            <w:tcW w:w="0" w:type="auto"/>
            <w:tcBorders>
              <w:top w:val="single" w:color="000000" w:sz="4" w:space="0"/>
            </w:tcBorders>
            <w:shd w:val="clear" w:color="auto" w:fill="FFFFFF"/>
            <w:vAlign w:val="center"/>
          </w:tcPr>
          <w:p w14:paraId="7DDAC913">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30%</w:t>
            </w:r>
          </w:p>
        </w:tc>
        <w:tc>
          <w:tcPr>
            <w:tcW w:w="0" w:type="auto"/>
            <w:tcBorders>
              <w:top w:val="single" w:color="000000" w:sz="4" w:space="0"/>
            </w:tcBorders>
            <w:shd w:val="clear" w:color="auto" w:fill="FFFFFF"/>
            <w:vAlign w:val="center"/>
          </w:tcPr>
          <w:p w14:paraId="59D87875">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展现出极强的“证据链”思维。坚决拒绝“仅凭一次听课定性”，能自动要求或调用（听课记录、作业雷同率、学情问卷、考试数据）等多渠道数据进行交叉比对，锁定真因。</w:t>
            </w:r>
          </w:p>
        </w:tc>
        <w:tc>
          <w:tcPr>
            <w:tcW w:w="0" w:type="auto"/>
            <w:tcBorders>
              <w:top w:val="single" w:color="000000" w:sz="4" w:space="0"/>
            </w:tcBorders>
            <w:shd w:val="clear" w:color="auto" w:fill="FFFFFF"/>
            <w:vAlign w:val="center"/>
          </w:tcPr>
          <w:p w14:paraId="18F1CC9E">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提出了查找原因，但诊断手段单一（往往只依赖期中考试成绩或督导听课反馈），缺乏不同数据间的交叉印证意识。</w:t>
            </w:r>
          </w:p>
        </w:tc>
      </w:tr>
      <w:tr w14:paraId="62819D3F">
        <w:trPr>
          <w:tblCellSpacing w:w="15" w:type="dxa"/>
          <w:jc w:val="center"/>
        </w:trPr>
        <w:tc>
          <w:tcPr>
            <w:tcW w:w="0" w:type="auto"/>
            <w:shd w:val="clear" w:color="auto" w:fill="FFFFFF"/>
            <w:vAlign w:val="center"/>
          </w:tcPr>
          <w:p w14:paraId="1B86B9D4">
            <w:pPr>
              <w:keepNext w:val="0"/>
              <w:keepLines w:val="0"/>
              <w:widowControl/>
              <w:suppressLineNumbers w:val="0"/>
              <w:jc w:val="left"/>
              <w:rPr>
                <w:b w:val="0"/>
                <w:color w:val="000000"/>
              </w:rPr>
            </w:pPr>
            <w:r>
              <w:rPr>
                <w:rStyle w:val="4"/>
                <w:rFonts w:ascii="宋体" w:hAnsi="宋体" w:eastAsia="宋体" w:cs="宋体"/>
                <w:b w:val="0"/>
                <w:color w:val="000000"/>
                <w:kern w:val="0"/>
                <w:sz w:val="24"/>
                <w:szCs w:val="24"/>
                <w:lang w:val="en-US" w:eastAsia="zh-CN" w:bidi="ar"/>
              </w:rPr>
              <w:t>分层归因与系统思维</w:t>
            </w:r>
          </w:p>
        </w:tc>
        <w:tc>
          <w:tcPr>
            <w:tcW w:w="0" w:type="auto"/>
            <w:shd w:val="clear" w:color="auto" w:fill="FFFFFF"/>
            <w:vAlign w:val="center"/>
          </w:tcPr>
          <w:p w14:paraId="0CD01566">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25%</w:t>
            </w:r>
          </w:p>
        </w:tc>
        <w:tc>
          <w:tcPr>
            <w:tcW w:w="0" w:type="auto"/>
            <w:shd w:val="clear" w:color="auto" w:fill="FFFFFF"/>
            <w:vAlign w:val="center"/>
          </w:tcPr>
          <w:p w14:paraId="06BD85E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责任边界清晰，绝不“一锅端”。能精准切分“教师个人教法陈旧”、“教研组共性一刀切”、“中高职贯通机制断层”三个层级的痛点，匹配对应层级的解决路径。</w:t>
            </w:r>
          </w:p>
        </w:tc>
        <w:tc>
          <w:tcPr>
            <w:tcW w:w="0" w:type="auto"/>
            <w:shd w:val="clear" w:color="auto" w:fill="FFFFFF"/>
            <w:vAlign w:val="center"/>
          </w:tcPr>
          <w:p w14:paraId="0169405D">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找到了教学问题，但归因比较笼统扁平，容易把所有的教学问题都简单归结为“教师态度不端正”或“生源底子薄”。</w:t>
            </w:r>
          </w:p>
        </w:tc>
      </w:tr>
      <w:tr w14:paraId="04F19F5A">
        <w:trPr>
          <w:tblCellSpacing w:w="15" w:type="dxa"/>
          <w:jc w:val="center"/>
        </w:trPr>
        <w:tc>
          <w:tcPr>
            <w:tcW w:w="0" w:type="auto"/>
            <w:shd w:val="clear" w:color="auto" w:fill="FFFFFF"/>
            <w:vAlign w:val="center"/>
          </w:tcPr>
          <w:p w14:paraId="392C188D">
            <w:pPr>
              <w:keepNext w:val="0"/>
              <w:keepLines w:val="0"/>
              <w:widowControl/>
              <w:suppressLineNumbers w:val="0"/>
              <w:jc w:val="left"/>
              <w:rPr>
                <w:b w:val="0"/>
                <w:color w:val="000000"/>
              </w:rPr>
            </w:pPr>
            <w:r>
              <w:rPr>
                <w:rStyle w:val="4"/>
                <w:rFonts w:ascii="宋体" w:hAnsi="宋体" w:eastAsia="宋体" w:cs="宋体"/>
                <w:b w:val="0"/>
                <w:color w:val="000000"/>
                <w:kern w:val="0"/>
                <w:sz w:val="24"/>
                <w:szCs w:val="24"/>
                <w:lang w:val="en-US" w:eastAsia="zh-CN" w:bidi="ar"/>
              </w:rPr>
              <w:t>对策落地与工具具体性</w:t>
            </w:r>
          </w:p>
        </w:tc>
        <w:tc>
          <w:tcPr>
            <w:tcW w:w="0" w:type="auto"/>
            <w:shd w:val="clear" w:color="auto" w:fill="FFFFFF"/>
            <w:vAlign w:val="center"/>
          </w:tcPr>
          <w:p w14:paraId="2D7BB25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25%</w:t>
            </w:r>
          </w:p>
        </w:tc>
        <w:tc>
          <w:tcPr>
            <w:tcW w:w="0" w:type="auto"/>
            <w:shd w:val="clear" w:color="auto" w:fill="FFFFFF"/>
            <w:vAlign w:val="center"/>
          </w:tcPr>
          <w:p w14:paraId="21BA669C">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对策极具中职特色且可直接操作。能直接提供立即可用的管理工具（如：追问重难点的话术、防AI抄袭的作业模板、公共课跨专业对接表、联合教研议程）。</w:t>
            </w:r>
          </w:p>
        </w:tc>
        <w:tc>
          <w:tcPr>
            <w:tcW w:w="0" w:type="auto"/>
            <w:shd w:val="clear" w:color="auto" w:fill="FFFFFF"/>
            <w:vAlign w:val="center"/>
          </w:tcPr>
          <w:p w14:paraId="7925DA0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给出了正确的改革方向（如“要注意公共课和专业课的融合”、“要防止学生抄袭”），但未给出具体的表格、模板或现成操作步骤。</w:t>
            </w:r>
          </w:p>
        </w:tc>
      </w:tr>
      <w:tr w14:paraId="73EBCF3E">
        <w:trPr>
          <w:tblCellSpacing w:w="15" w:type="dxa"/>
          <w:jc w:val="center"/>
        </w:trPr>
        <w:tc>
          <w:tcPr>
            <w:tcW w:w="0" w:type="auto"/>
            <w:tcBorders>
              <w:bottom w:val="single" w:color="000000" w:sz="12" w:space="0"/>
            </w:tcBorders>
            <w:shd w:val="clear" w:color="auto" w:fill="FFFFFF"/>
            <w:vAlign w:val="center"/>
          </w:tcPr>
          <w:p w14:paraId="20BD8F1D">
            <w:pPr>
              <w:keepNext w:val="0"/>
              <w:keepLines w:val="0"/>
              <w:widowControl/>
              <w:suppressLineNumbers w:val="0"/>
              <w:jc w:val="left"/>
              <w:rPr>
                <w:b w:val="0"/>
                <w:color w:val="000000"/>
              </w:rPr>
            </w:pPr>
            <w:r>
              <w:rPr>
                <w:rStyle w:val="4"/>
                <w:rFonts w:ascii="宋体" w:hAnsi="宋体" w:eastAsia="宋体" w:cs="宋体"/>
                <w:b w:val="0"/>
                <w:color w:val="000000"/>
                <w:kern w:val="0"/>
                <w:sz w:val="24"/>
                <w:szCs w:val="24"/>
                <w:lang w:val="en-US" w:eastAsia="zh-CN" w:bidi="ar"/>
              </w:rPr>
              <w:t>机制闭环与成果固化</w:t>
            </w:r>
          </w:p>
        </w:tc>
        <w:tc>
          <w:tcPr>
            <w:tcW w:w="0" w:type="auto"/>
            <w:tcBorders>
              <w:bottom w:val="single" w:color="000000" w:sz="12" w:space="0"/>
            </w:tcBorders>
            <w:shd w:val="clear" w:color="auto" w:fill="FFFFFF"/>
            <w:vAlign w:val="center"/>
          </w:tcPr>
          <w:p w14:paraId="1E25DF34">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20%</w:t>
            </w:r>
          </w:p>
        </w:tc>
        <w:tc>
          <w:tcPr>
            <w:tcW w:w="0" w:type="auto"/>
            <w:tcBorders>
              <w:bottom w:val="single" w:color="000000" w:sz="12" w:space="0"/>
            </w:tcBorders>
            <w:shd w:val="clear" w:color="auto" w:fill="FFFFFF"/>
            <w:vAlign w:val="center"/>
          </w:tcPr>
          <w:p w14:paraId="11B16BA9">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具有强烈的“减负”与“沉淀”意识。设计的改进路径能自然融入日常教研，带有明确的非考试类复盘观测指标，并提示将有效经验沉淀为校本资源库。</w:t>
            </w:r>
          </w:p>
        </w:tc>
        <w:tc>
          <w:tcPr>
            <w:tcW w:w="0" w:type="auto"/>
            <w:tcBorders>
              <w:bottom w:val="single" w:color="000000" w:sz="12" w:space="0"/>
            </w:tcBorders>
            <w:shd w:val="clear" w:color="auto" w:fill="FFFFFF"/>
            <w:vAlign w:val="center"/>
          </w:tcPr>
          <w:p w14:paraId="7AF26DCA">
            <w:pPr>
              <w:keepNext w:val="0"/>
              <w:keepLines w:val="0"/>
              <w:widowControl/>
              <w:suppressLineNumbers w:val="0"/>
              <w:jc w:val="left"/>
              <w:rPr>
                <w:b w:val="0"/>
                <w:color w:val="000000"/>
              </w:rPr>
            </w:pPr>
            <w:r>
              <w:rPr>
                <w:rFonts w:ascii="宋体" w:hAnsi="宋体" w:eastAsia="宋体" w:cs="宋体"/>
                <w:b w:val="0"/>
                <w:color w:val="000000"/>
                <w:kern w:val="0"/>
                <w:sz w:val="24"/>
                <w:szCs w:val="24"/>
                <w:lang w:val="en-US" w:eastAsia="zh-CN" w:bidi="ar"/>
              </w:rPr>
              <w:t>有短期的改进计划或处罚措施，但缺乏闭环的验收标准，且没有将散点经验转化为学校长效机制的意识。</w:t>
            </w:r>
          </w:p>
        </w:tc>
      </w:tr>
    </w:tbl>
    <w:p w14:paraId="18CD5ECC">
      <w:pPr>
        <w:widowControl w:val="0"/>
        <w:numPr>
          <w:numId w:val="0"/>
        </w:numPr>
        <w:jc w:val="both"/>
        <w:rPr>
          <w:rFonts w:hint="eastAsia"/>
        </w:rPr>
      </w:pPr>
    </w:p>
    <w:p w14:paraId="155E4D1A">
      <w:pPr>
        <w:widowControl w:val="0"/>
        <w:numPr>
          <w:numId w:val="0"/>
        </w:numPr>
        <w:jc w:val="both"/>
        <w:rPr>
          <w:rFonts w:hint="eastAsia"/>
        </w:rPr>
      </w:pPr>
    </w:p>
    <w:p w14:paraId="0B011BD2">
      <w:pPr>
        <w:rPr>
          <w:rFonts w:hint="eastAsia"/>
        </w:rPr>
      </w:pPr>
    </w:p>
    <w:p w14:paraId="6F5DD35E">
      <w:pPr>
        <w:rPr>
          <w:rFonts w:hint="eastAsia"/>
        </w:rPr>
      </w:pPr>
      <w:r>
        <w:rPr>
          <w:rFonts w:hint="eastAsia"/>
        </w:rPr>
        <w:t>6、案例对比</w:t>
      </w:r>
    </w:p>
    <w:p w14:paraId="4B5D5591">
      <w:pPr>
        <w:rPr>
          <w:rFonts w:hint="eastAsia"/>
        </w:rPr>
      </w:pPr>
    </w:p>
    <w:p w14:paraId="4B439AE7">
      <w:pPr>
        <w:rPr>
          <w:rFonts w:hint="eastAsia"/>
        </w:rPr>
      </w:pPr>
      <w:r>
        <w:rPr>
          <w:rFonts w:hint="eastAsia"/>
        </w:rPr>
        <w:t>正面案例（专家推荐做法）： 某校诊断发现数学排列组合知识点效果差，教研组长不局限于内部讨论，而是邀请计算机与数控专业骨干旁听。会后，数控老师提出把排列组合融入“密码学与数控编程防错”案例。此后该单元作业不再是纯公式计算，而是解决车床实际问题，学生抄袭率断崖式下降。</w:t>
      </w:r>
    </w:p>
    <w:p w14:paraId="365764D3">
      <w:pPr>
        <w:rPr>
          <w:rFonts w:hint="eastAsia"/>
        </w:rPr>
      </w:pPr>
      <w:r>
        <w:rPr>
          <w:rFonts w:hint="eastAsia"/>
        </w:rPr>
        <w:t>反面案例（机械化回应与典型误区）： 面对中高贯通班学生听不懂高数，中专段老师认为是学生不努力，高职段老师认为是中专没教好。教务处只下发了一纸《关于提高贯通班教学质量的通知》，要求老师加强辅导。知识断层（未学过数列）的根本问题无人问津，问题依旧。</w:t>
      </w:r>
    </w:p>
    <w:p w14:paraId="59B9480A">
      <w:pPr>
        <w:rPr>
          <w:rFonts w:hint="eastAsia"/>
        </w:rPr>
      </w:pPr>
      <w:r>
        <w:rPr>
          <w:rFonts w:hint="eastAsia"/>
        </w:rPr>
        <w:t>7、规范依据</w:t>
      </w:r>
    </w:p>
    <w:p w14:paraId="39D52F82">
      <w:pPr>
        <w:rPr>
          <w:rFonts w:hint="eastAsia"/>
        </w:rPr>
      </w:pPr>
    </w:p>
    <w:p w14:paraId="164BBE19">
      <w:pPr>
        <w:rPr>
          <w:rFonts w:hint="eastAsia"/>
        </w:rPr>
      </w:pPr>
      <w:r>
        <w:rPr>
          <w:rFonts w:hint="eastAsia"/>
        </w:rPr>
        <w:t>《国家职业教育改革实施方案》（国发〔2019〕4号）</w:t>
      </w:r>
    </w:p>
    <w:p w14:paraId="1AFEF245">
      <w:pPr>
        <w:rPr>
          <w:rFonts w:hint="eastAsia"/>
        </w:rPr>
      </w:pPr>
      <w:r>
        <w:rPr>
          <w:rFonts w:hint="eastAsia"/>
        </w:rPr>
        <w:t>国家及教育部发布的各中等职业学校专业教学标准及公共基础课课程标准</w:t>
      </w:r>
    </w:p>
    <w:p w14:paraId="2C8F4883">
      <w:pPr>
        <w:rPr>
          <w:rFonts w:hint="eastAsia"/>
        </w:rPr>
      </w:pPr>
      <w:r>
        <w:rPr>
          <w:rFonts w:hint="eastAsia"/>
        </w:rPr>
        <w:t>职业学校教学诊改（诊断与改进）相关指导文件</w:t>
      </w:r>
    </w:p>
    <w:p w14:paraId="674FE84B">
      <w:pPr>
        <w:rPr>
          <w:rFonts w:hint="eastAsia"/>
        </w:rPr>
      </w:pPr>
      <w:r>
        <w:rPr>
          <w:rFonts w:hint="eastAsia"/>
        </w:rPr>
        <w:t>各校关于学术诚信、期中/期末教学检查与教研组管理的现行制度</w:t>
      </w:r>
    </w:p>
    <w:p w14:paraId="5ADAA510">
      <w:pPr>
        <w:numPr>
          <w:ilvl w:val="0"/>
          <w:numId w:val="2"/>
        </w:numPr>
        <w:rPr>
          <w:rFonts w:hint="eastAsia"/>
        </w:rPr>
      </w:pPr>
      <w:r>
        <w:rPr>
          <w:rFonts w:hint="eastAsia"/>
        </w:rPr>
        <w:t>测评问题</w:t>
      </w:r>
    </w:p>
    <w:p w14:paraId="0A2F9FD9">
      <w:pPr>
        <w:numPr>
          <w:numId w:val="0"/>
        </w:numPr>
        <w:rPr>
          <w:rFonts w:hint="eastAsia"/>
        </w:rPr>
      </w:pPr>
      <w:r>
        <w:rPr>
          <w:rFonts w:hint="eastAsia"/>
        </w:rPr>
        <w:t>专家使用此文档生成 Agent 后，可通过以下 10 个角色代入式问题测试其专业水平：</w:t>
      </w:r>
    </w:p>
    <w:p w14:paraId="539990CC">
      <w:pPr>
        <w:numPr>
          <w:numId w:val="0"/>
        </w:numPr>
        <w:rPr>
          <w:rFonts w:hint="eastAsia"/>
        </w:rPr>
      </w:pPr>
    </w:p>
    <w:p w14:paraId="3AAA67D7">
      <w:pPr>
        <w:numPr>
          <w:numId w:val="0"/>
        </w:numPr>
        <w:rPr>
          <w:rFonts w:hint="eastAsia"/>
        </w:rPr>
      </w:pPr>
      <w:r>
        <w:rPr>
          <w:rFonts w:hint="eastAsia"/>
        </w:rPr>
        <w:t>情景1：单一证据的交叉验证</w:t>
      </w:r>
    </w:p>
    <w:p w14:paraId="1243A74B">
      <w:pPr>
        <w:numPr>
          <w:numId w:val="0"/>
        </w:numPr>
        <w:rPr>
          <w:rFonts w:hint="eastAsia"/>
        </w:rPr>
      </w:pPr>
      <w:r>
        <w:rPr>
          <w:rFonts w:hint="eastAsia"/>
        </w:rPr>
        <w:t>教务处长问：“有位老教研员听课后向我反映，某位青年教师的课‘气氛沉闷，教学设计失败’。作为管理者，在下定论去批评这位教师之前，我应该向你（Agent）索要哪另外两项客观数据/证据，来交叉验证这个判断是否准确？”</w:t>
      </w:r>
    </w:p>
    <w:p w14:paraId="2D3D59A7">
      <w:pPr>
        <w:numPr>
          <w:numId w:val="0"/>
        </w:numPr>
        <w:rPr>
          <w:rFonts w:hint="eastAsia"/>
        </w:rPr>
      </w:pPr>
    </w:p>
    <w:p w14:paraId="1ECAB2AC">
      <w:pPr>
        <w:numPr>
          <w:numId w:val="0"/>
        </w:numPr>
        <w:rPr>
          <w:rFonts w:hint="eastAsia"/>
        </w:rPr>
      </w:pPr>
      <w:r>
        <w:rPr>
          <w:rFonts w:hint="eastAsia"/>
        </w:rPr>
        <w:t>情景2：敷衍教案的深度追问</w:t>
      </w:r>
    </w:p>
    <w:p w14:paraId="715F1747">
      <w:pPr>
        <w:numPr>
          <w:numId w:val="0"/>
        </w:numPr>
        <w:rPr>
          <w:rFonts w:hint="eastAsia"/>
        </w:rPr>
      </w:pPr>
      <w:r>
        <w:rPr>
          <w:rFonts w:hint="eastAsia"/>
        </w:rPr>
        <w:t>教研组长问：“我检查一位老教师的教案时发现，他的教学重难点只有一句极其敷衍的‘掌握排列组合概念’。请给我提供一段‘找该教师面对面谈话，层层追问其重难点设定依据’的三步沟通话术。”</w:t>
      </w:r>
    </w:p>
    <w:p w14:paraId="2EAF5C09">
      <w:pPr>
        <w:numPr>
          <w:numId w:val="0"/>
        </w:numPr>
        <w:rPr>
          <w:rFonts w:hint="eastAsia"/>
        </w:rPr>
      </w:pPr>
    </w:p>
    <w:p w14:paraId="2983FDD3">
      <w:pPr>
        <w:numPr>
          <w:numId w:val="0"/>
        </w:numPr>
        <w:rPr>
          <w:rFonts w:hint="eastAsia"/>
        </w:rPr>
      </w:pPr>
      <w:r>
        <w:rPr>
          <w:rFonts w:hint="eastAsia"/>
        </w:rPr>
        <w:t>情景3：防AI秒杀的作业重构</w:t>
      </w:r>
    </w:p>
    <w:p w14:paraId="22D7D0CB">
      <w:pPr>
        <w:numPr>
          <w:numId w:val="0"/>
        </w:numPr>
        <w:rPr>
          <w:rFonts w:hint="eastAsia"/>
        </w:rPr>
      </w:pPr>
      <w:r>
        <w:rPr>
          <w:rFonts w:hint="eastAsia"/>
        </w:rPr>
        <w:t>专业课教师问：“我教文秘专业的《应用文写作》，原本布置的作业是‘写一份会议通知’，结果全班80%的学生用DeepSeek等AI工具秒出答案交差。请帮我重新设计这道作业题或评价规则，既能锻炼真实写作能力，又能让AI无法直接代写。”</w:t>
      </w:r>
    </w:p>
    <w:p w14:paraId="3912B7E9">
      <w:pPr>
        <w:numPr>
          <w:numId w:val="0"/>
        </w:numPr>
        <w:rPr>
          <w:rFonts w:hint="eastAsia"/>
        </w:rPr>
      </w:pPr>
    </w:p>
    <w:p w14:paraId="6DBAA59F">
      <w:pPr>
        <w:numPr>
          <w:numId w:val="0"/>
        </w:numPr>
        <w:rPr>
          <w:rFonts w:hint="eastAsia"/>
        </w:rPr>
      </w:pPr>
      <w:r>
        <w:rPr>
          <w:rFonts w:hint="eastAsia"/>
        </w:rPr>
        <w:t>情景4：贯通培养的知识断层</w:t>
      </w:r>
    </w:p>
    <w:p w14:paraId="0744F492">
      <w:pPr>
        <w:numPr>
          <w:numId w:val="0"/>
        </w:numPr>
        <w:rPr>
          <w:rFonts w:hint="eastAsia"/>
        </w:rPr>
      </w:pPr>
      <w:r>
        <w:rPr>
          <w:rFonts w:hint="eastAsia"/>
        </w:rPr>
        <w:t>中高职贯通项目负责人说：“高职段老师集体投诉，说中专升上来的学生连基础的‘数列’都没学过，高数课根本推不动。中专老师又嫌高职要求太高。请帮我设计一个‘中专-高职联合教研会’的破冰议程，彻底解决这个知识衔接漏洞。”</w:t>
      </w:r>
    </w:p>
    <w:p w14:paraId="0B8E8D7A">
      <w:pPr>
        <w:numPr>
          <w:numId w:val="0"/>
        </w:numPr>
        <w:rPr>
          <w:rFonts w:hint="eastAsia"/>
        </w:rPr>
      </w:pPr>
    </w:p>
    <w:p w14:paraId="38C258B0">
      <w:pPr>
        <w:numPr>
          <w:numId w:val="0"/>
        </w:numPr>
        <w:rPr>
          <w:rFonts w:hint="eastAsia"/>
        </w:rPr>
      </w:pPr>
      <w:r>
        <w:rPr>
          <w:rFonts w:hint="eastAsia"/>
        </w:rPr>
        <w:t>情景5：公共课的跨界需求对接</w:t>
      </w:r>
    </w:p>
    <w:p w14:paraId="6607BCD9">
      <w:pPr>
        <w:numPr>
          <w:numId w:val="0"/>
        </w:numPr>
        <w:rPr>
          <w:rFonts w:hint="eastAsia"/>
        </w:rPr>
      </w:pPr>
      <w:r>
        <w:rPr>
          <w:rFonts w:hint="eastAsia"/>
        </w:rPr>
        <w:t>公共课教研室主任问：“我们学校数学组的集体备课总是‘一刀切’，导致去教数控班和去教财会班的内容完全一样。请帮我设计一张极简的《公共基础课-专业课需求对接表》，强制要求数学老师去了解并适配不同专业的侧重点。”</w:t>
      </w:r>
    </w:p>
    <w:p w14:paraId="7C9F313D">
      <w:pPr>
        <w:numPr>
          <w:numId w:val="0"/>
        </w:numPr>
        <w:rPr>
          <w:rFonts w:hint="eastAsia"/>
        </w:rPr>
      </w:pPr>
    </w:p>
    <w:p w14:paraId="78099D35">
      <w:pPr>
        <w:numPr>
          <w:numId w:val="0"/>
        </w:numPr>
        <w:rPr>
          <w:rFonts w:hint="eastAsia"/>
        </w:rPr>
      </w:pPr>
      <w:r>
        <w:rPr>
          <w:rFonts w:hint="eastAsia"/>
        </w:rPr>
        <w:t>情景6：虚无学情的极速摸底</w:t>
      </w:r>
    </w:p>
    <w:p w14:paraId="40D22D53">
      <w:pPr>
        <w:numPr>
          <w:numId w:val="0"/>
        </w:numPr>
        <w:rPr>
          <w:rFonts w:hint="eastAsia"/>
        </w:rPr>
      </w:pPr>
      <w:r>
        <w:rPr>
          <w:rFonts w:hint="eastAsia"/>
        </w:rPr>
        <w:t>新入职教师抱怨：“这帮中职生底子太差了，我怎么讲他们都不听！”教研组长对Agent说：“请帮我为这位年轻老师设计一份只有3个关键问题的‘微型学情摸底问卷（限上课前5分钟用手机完成）’，帮他找准学生真实的认知起点。”</w:t>
      </w:r>
    </w:p>
    <w:p w14:paraId="10A3A11E">
      <w:pPr>
        <w:numPr>
          <w:numId w:val="0"/>
        </w:numPr>
        <w:rPr>
          <w:rFonts w:hint="eastAsia"/>
        </w:rPr>
      </w:pPr>
    </w:p>
    <w:p w14:paraId="72029BF9">
      <w:pPr>
        <w:numPr>
          <w:numId w:val="0"/>
        </w:numPr>
        <w:rPr>
          <w:rFonts w:hint="eastAsia"/>
        </w:rPr>
      </w:pPr>
      <w:r>
        <w:rPr>
          <w:rFonts w:hint="eastAsia"/>
        </w:rPr>
        <w:t>情景7：骨干带教的机制防僵化</w:t>
      </w:r>
    </w:p>
    <w:p w14:paraId="0AE85379">
      <w:pPr>
        <w:numPr>
          <w:numId w:val="0"/>
        </w:numPr>
        <w:rPr>
          <w:rFonts w:hint="eastAsia"/>
        </w:rPr>
      </w:pPr>
      <w:r>
        <w:rPr>
          <w:rFonts w:hint="eastAsia"/>
        </w:rPr>
        <w:t>师训处主任问：“为了防止年轻老师在被骨干老教师带教时‘死板拷贝’，完全丧失自己的教学风格和创新，我在修订《师徒结对带教考核表》时，应该在评价标准里加入哪一条关键的牵制性指标？”</w:t>
      </w:r>
    </w:p>
    <w:p w14:paraId="268362CD">
      <w:pPr>
        <w:numPr>
          <w:numId w:val="0"/>
        </w:numPr>
        <w:rPr>
          <w:rFonts w:hint="eastAsia"/>
        </w:rPr>
      </w:pPr>
    </w:p>
    <w:p w14:paraId="20C79D20">
      <w:pPr>
        <w:numPr>
          <w:numId w:val="0"/>
        </w:numPr>
        <w:rPr>
          <w:rFonts w:hint="eastAsia"/>
        </w:rPr>
      </w:pPr>
      <w:r>
        <w:rPr>
          <w:rFonts w:hint="eastAsia"/>
        </w:rPr>
        <w:t>情景8：全面崩盘的分层归因</w:t>
      </w:r>
    </w:p>
    <w:p w14:paraId="242AC6C6">
      <w:pPr>
        <w:numPr>
          <w:numId w:val="0"/>
        </w:numPr>
        <w:rPr>
          <w:rFonts w:hint="eastAsia"/>
        </w:rPr>
      </w:pPr>
      <w:r>
        <w:rPr>
          <w:rFonts w:hint="eastAsia"/>
        </w:rPr>
        <w:t>分管教学副校长问：“期中考试后，我发现全年级3个汽修班的英语成绩全面崩盘，但同期的机电班英语成绩却十分正常。请帮我列出这背后的3种可能原因（必须分别从：教师个人、教研组共性、专业适配层级这三个维度来分析）。”</w:t>
      </w:r>
    </w:p>
    <w:p w14:paraId="1B6A79E7">
      <w:pPr>
        <w:numPr>
          <w:numId w:val="0"/>
        </w:numPr>
        <w:rPr>
          <w:rFonts w:hint="eastAsia"/>
        </w:rPr>
      </w:pPr>
    </w:p>
    <w:p w14:paraId="5BE5FC69">
      <w:pPr>
        <w:numPr>
          <w:numId w:val="0"/>
        </w:numPr>
        <w:rPr>
          <w:rFonts w:hint="eastAsia"/>
        </w:rPr>
      </w:pPr>
      <w:r>
        <w:rPr>
          <w:rFonts w:hint="eastAsia"/>
        </w:rPr>
        <w:t>情景9：整改落地的非考试复盘</w:t>
      </w:r>
    </w:p>
    <w:p w14:paraId="47F2E380">
      <w:pPr>
        <w:numPr>
          <w:numId w:val="0"/>
        </w:numPr>
        <w:rPr>
          <w:rFonts w:hint="eastAsia"/>
        </w:rPr>
      </w:pPr>
      <w:r>
        <w:rPr>
          <w:rFonts w:hint="eastAsia"/>
        </w:rPr>
        <w:t>校长问：“一个月前，我们推行了‘根据不同专业调整公共课侧重点’的教学整改方案。现在为了确认整改是真的落地了，而不是底下人在做表面文章，我除了看期末考试成绩，还应该去查哪两项‘非考试类’的客观过程数据？”</w:t>
      </w:r>
    </w:p>
    <w:p w14:paraId="128F38A5">
      <w:pPr>
        <w:numPr>
          <w:numId w:val="0"/>
        </w:numPr>
        <w:rPr>
          <w:rFonts w:hint="eastAsia"/>
        </w:rPr>
      </w:pPr>
    </w:p>
    <w:p w14:paraId="12ACE792">
      <w:pPr>
        <w:numPr>
          <w:numId w:val="0"/>
        </w:numPr>
        <w:rPr>
          <w:rFonts w:hint="eastAsia"/>
        </w:rPr>
      </w:pPr>
      <w:r>
        <w:rPr>
          <w:rFonts w:hint="eastAsia"/>
        </w:rPr>
        <w:t>情景10：成功个案的机制固化</w:t>
      </w:r>
    </w:p>
    <w:p w14:paraId="62231E6C">
      <w:pPr>
        <w:numPr>
          <w:numId w:val="0"/>
        </w:numPr>
        <w:rPr>
          <w:rFonts w:hint="eastAsia"/>
        </w:rPr>
      </w:pPr>
      <w:r>
        <w:rPr>
          <w:rFonts w:hint="eastAsia"/>
        </w:rPr>
        <w:t>教研组长说：“我好不容易做通工作，让组里一位最固执的老教师在课堂上尝试了新的‘情景分组探究法’，效果居然出奇的好。为了让这个转瞬即逝的成功个案变成全校的教研财富，我接下来必须马上做哪两个标准动作来固化它？”</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Helvetica Neue">
    <w:panose1 w:val="02000503000000020004"/>
    <w:charset w:val="00"/>
    <w:family w:val="auto"/>
    <w:pitch w:val="default"/>
    <w:sig w:usb0="E50002FF" w:usb1="500079DB" w:usb2="00000010" w:usb3="00000000" w:csb0="00000000" w:csb1="0000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B7F8D15"/>
    <w:multiLevelType w:val="singleLevel"/>
    <w:tmpl w:val="CB7F8D15"/>
    <w:lvl w:ilvl="0" w:tentative="0">
      <w:start w:val="8"/>
      <w:numFmt w:val="decimal"/>
      <w:suff w:val="nothing"/>
      <w:lvlText w:val="%1、"/>
      <w:lvlJc w:val="left"/>
    </w:lvl>
  </w:abstractNum>
  <w:abstractNum w:abstractNumId="1">
    <w:nsid w:val="4F3D017F"/>
    <w:multiLevelType w:val="singleLevel"/>
    <w:tmpl w:val="4F3D017F"/>
    <w:lvl w:ilvl="0" w:tentative="0">
      <w:start w:val="5"/>
      <w:numFmt w:val="decimal"/>
      <w:suff w:val="nothing"/>
      <w:lvlText w:val="%1、"/>
      <w:lvlJc w:val="left"/>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E90E2"/>
    <w:rsid w:val="5BEE90E2"/>
    <w:rsid w:val="7BB7302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Strong"/>
    <w:basedOn w:val="3"/>
    <w:qFormat/>
    <w:uiPriority w:val="0"/>
    <w:rPr>
      <w:b/>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0</Words>
  <Characters>0</Characters>
  <Lines>0</Lines>
  <Paragraphs>0</Paragraphs>
  <TotalTime>14</TotalTime>
  <ScaleCrop>false</ScaleCrop>
  <LinksUpToDate>false</LinksUpToDate>
  <CharactersWithSpaces>0</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2026-04-27T21:30:00Z</dcterms:created>
  <dc:creator>Sakura酱</dc:creator>
  <cp:lastModifiedBy>Sakura酱</cp:lastModifiedBy>
  <dcterms:modified xsi:type="dcterms:W3CDTF">2026-05-05T13:51:52Z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F0A64EED8FA1C7E777F4EE6996124273_41</vt:lpwstr>
  </property>
</Properties>
</file>