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35B3B">
      <w:pPr>
        <w:rPr>
          <w:rFonts w:hint="eastAsia"/>
        </w:rPr>
      </w:pPr>
      <w:r>
        <w:rPr>
          <w:rFonts w:hint="eastAsia"/>
        </w:rPr>
        <w:t>教育任务描述文件</w:t>
      </w:r>
    </w:p>
    <w:p w14:paraId="18CC7158">
      <w:pPr>
        <w:rPr>
          <w:rFonts w:hint="eastAsia"/>
        </w:rPr>
      </w:pPr>
    </w:p>
    <w:p w14:paraId="6C69CB77">
      <w:pPr>
        <w:rPr>
          <w:rFonts w:hint="eastAsia"/>
        </w:rPr>
      </w:pPr>
      <w:r>
        <w:rPr>
          <w:rFonts w:hint="eastAsia"/>
        </w:rPr>
        <w:t>1、任务名称</w:t>
      </w:r>
    </w:p>
    <w:p w14:paraId="343C800A">
      <w:pPr>
        <w:rPr>
          <w:rFonts w:hint="eastAsia"/>
        </w:rPr>
      </w:pPr>
      <w:r>
        <w:rPr>
          <w:rFonts w:hint="eastAsia"/>
        </w:rPr>
        <w:t>中职课堂高效判定指标与跨专业改进设计</w:t>
      </w:r>
    </w:p>
    <w:p w14:paraId="013EE222">
      <w:pPr>
        <w:rPr>
          <w:rFonts w:hint="eastAsia"/>
        </w:rPr>
      </w:pPr>
    </w:p>
    <w:p w14:paraId="17817206">
      <w:pPr>
        <w:rPr>
          <w:rFonts w:hint="eastAsia"/>
        </w:rPr>
      </w:pPr>
      <w:r>
        <w:rPr>
          <w:rFonts w:hint="eastAsia"/>
        </w:rPr>
        <w:t>2、触发情景</w:t>
      </w:r>
    </w:p>
    <w:p w14:paraId="56251B27">
      <w:pPr>
        <w:rPr>
          <w:rFonts w:hint="eastAsia"/>
        </w:rPr>
      </w:pPr>
    </w:p>
    <w:p w14:paraId="7683D81E">
      <w:pPr>
        <w:rPr>
          <w:rFonts w:hint="eastAsia"/>
        </w:rPr>
      </w:pPr>
      <w:r>
        <w:rPr>
          <w:rFonts w:hint="eastAsia"/>
        </w:rPr>
        <w:t>适用学段：中等职业学校（兼顾技工学校、高职专科）。</w:t>
      </w:r>
    </w:p>
    <w:p w14:paraId="09B944FE">
      <w:pPr>
        <w:rPr>
          <w:rFonts w:hint="eastAsia"/>
        </w:rPr>
      </w:pPr>
      <w:r>
        <w:rPr>
          <w:rFonts w:hint="eastAsia"/>
        </w:rPr>
        <w:t>环境限定：教学管理者、教研员或督导在进行常态化听评课、课堂巡查，或指导教师进行教学设计的场景。配备基础信息化设备（如希沃白板、答题器、平板等）。</w:t>
      </w:r>
    </w:p>
    <w:p w14:paraId="62D366E0">
      <w:pPr>
        <w:rPr>
          <w:rFonts w:hint="eastAsia"/>
        </w:rPr>
      </w:pPr>
      <w:r>
        <w:rPr>
          <w:rFonts w:hint="eastAsia"/>
        </w:rPr>
        <w:t>任务意图：引导智能体（Agent）帮助管理者或教师摒弃“凭主观感觉评课”的习惯，建立基于“可观测行为与数据”的高效课堂判定标准；并针对中职高频出现的“假性参与、内容重复、跨专业脱节”等问题，输出落地方案。</w:t>
      </w:r>
    </w:p>
    <w:p w14:paraId="03139745">
      <w:pPr>
        <w:rPr>
          <w:rFonts w:hint="eastAsia"/>
        </w:rPr>
      </w:pPr>
      <w:r>
        <w:rPr>
          <w:rFonts w:hint="eastAsia"/>
        </w:rPr>
        <w:t>3、核心问题</w:t>
      </w:r>
    </w:p>
    <w:p w14:paraId="01815783">
      <w:pPr>
        <w:rPr>
          <w:rFonts w:hint="eastAsia"/>
        </w:rPr>
      </w:pPr>
      <w:r>
        <w:rPr>
          <w:rFonts w:hint="eastAsia"/>
        </w:rPr>
        <w:t>中职真实的课堂现场中，反复面临以下三大隐性低效挑战：</w:t>
      </w:r>
    </w:p>
    <w:p w14:paraId="2E1C0077">
      <w:pPr>
        <w:rPr>
          <w:rFonts w:hint="eastAsia"/>
        </w:rPr>
      </w:pPr>
    </w:p>
    <w:p w14:paraId="1CAC96A7">
      <w:pPr>
        <w:rPr>
          <w:rFonts w:hint="eastAsia"/>
        </w:rPr>
      </w:pPr>
      <w:r>
        <w:rPr>
          <w:rFonts w:hint="eastAsia"/>
        </w:rPr>
        <w:t>假性参与与互动覆盖面窄：课堂看似热闹，但“1分钟扫描”发现很多学生眼神空洞、脑子不转、不动笔。互动多依靠“一问一答”或“形式化的小组讨论”，永远只有1-2个优生在发言，其余绝大多数学生沦为“旁听观众”。</w:t>
      </w:r>
    </w:p>
    <w:p w14:paraId="06075C1B">
      <w:pPr>
        <w:rPr>
          <w:rFonts w:hint="eastAsia"/>
        </w:rPr>
      </w:pPr>
      <w:r>
        <w:rPr>
          <w:rFonts w:hint="eastAsia"/>
        </w:rPr>
        <w:t>结构失衡与时间浪费：年轻教师容易被学生带偏话题，聊废话耗费大量时间；部分教师讲课“避重就轻”，简单的概念反复练，真正的难点匆匆带过。</w:t>
      </w:r>
    </w:p>
    <w:p w14:paraId="777462D3">
      <w:pPr>
        <w:rPr>
          <w:rFonts w:hint="eastAsia"/>
        </w:rPr>
      </w:pPr>
      <w:r>
        <w:rPr>
          <w:rFonts w:hint="eastAsia"/>
        </w:rPr>
        <w:t>先“讲对”没解决，空谈效率（定位不清与概念重复）：同一专业的不同课程（如基础概述课、设备设计课、实操课）在讲授同一概念（如“压强”）时，由于缺乏沟通，三位老师都在重复讲最基础的“定义和单位换算”，导致学生听了三遍废话，而实操中真正需要的“压力表读数与设备损坏关系”却没人讲深。学科教师（如数学）缺乏专业视野，只讲公式不讲应用，导致学生不知为何而学。</w:t>
      </w:r>
    </w:p>
    <w:p w14:paraId="3E089CF6">
      <w:pPr>
        <w:rPr>
          <w:rFonts w:hint="eastAsia"/>
        </w:rPr>
      </w:pPr>
      <w:r>
        <w:rPr>
          <w:rFonts w:hint="eastAsia"/>
        </w:rPr>
        <w:t>4、解决方案（工作流设计）</w:t>
      </w:r>
    </w:p>
    <w:p w14:paraId="5116BCF8">
      <w:pPr>
        <w:rPr>
          <w:rFonts w:hint="eastAsia"/>
        </w:rPr>
      </w:pPr>
      <w:r>
        <w:rPr>
          <w:rFonts w:hint="eastAsia"/>
        </w:rPr>
        <w:t>本方案需引导执行者采取“量化采集 + 内容定标 + 跨界融合”的工作流：</w:t>
      </w:r>
    </w:p>
    <w:p w14:paraId="58D18883">
      <w:pPr>
        <w:rPr>
          <w:rFonts w:hint="eastAsia"/>
        </w:rPr>
      </w:pPr>
    </w:p>
    <w:p w14:paraId="7952D96D">
      <w:pPr>
        <w:rPr>
          <w:rFonts w:hint="eastAsia"/>
        </w:rPr>
      </w:pPr>
      <w:r>
        <w:rPr>
          <w:rFonts w:hint="eastAsia"/>
        </w:rPr>
        <w:t>线性流（诊断与数据可见）： 第一步：执行“1分钟扫描法”，观察学生讲授时的抬头率与活动时的动笔/思考率。 第二步：引入信息化工具（如ABCD答题器统计全员正确率/缺席率，或平板语音转文字生成词云），将“谁在参与、谁在走神”转化为客观数据看板。</w:t>
      </w:r>
    </w:p>
    <w:p w14:paraId="12ED6F0A">
      <w:pPr>
        <w:rPr>
          <w:rFonts w:hint="eastAsia"/>
        </w:rPr>
      </w:pPr>
      <w:r>
        <w:rPr>
          <w:rFonts w:hint="eastAsia"/>
        </w:rPr>
        <w:t>分支流（针对性改进）： 课程定位分支（治重复）：梳理专业课程图谱，强制进行“概念分工”。（例如：概述课讲单位换算，设计课讲内压外压影响，实操课讲表盘读数）。 课堂结构分支（治水课）：针对年轻教师，设定强制性的时间分配模块与话题拉回话术；针对难点，设计必须全员提交的过程性任务。</w:t>
      </w:r>
    </w:p>
    <w:p w14:paraId="09BFC08F">
      <w:pPr>
        <w:rPr>
          <w:rFonts w:hint="eastAsia"/>
        </w:rPr>
      </w:pPr>
      <w:r>
        <w:rPr>
          <w:rFonts w:hint="eastAsia"/>
        </w:rPr>
        <w:t>循环流（跨专业教研固化）：针对公共课脱离专业的问题，利用Agent或跨界教研提供专业情境（如将“排列组合”改造为“密码强度破解对攻”），迭代课例并沉淀为校本资源。</w:t>
      </w:r>
    </w:p>
    <w:p w14:paraId="400B51A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评价准则</w:t>
      </w:r>
    </w:p>
    <w:p w14:paraId="52A9CAF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对智能体输出方案的评价：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"/>
        <w:gridCol w:w="489"/>
        <w:gridCol w:w="4581"/>
        <w:gridCol w:w="2648"/>
      </w:tblGrid>
      <w:tr w14:paraId="22A6B102"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45531D2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06E374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F06F28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优秀（A）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DD2FFA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合格（B）</w:t>
            </w:r>
          </w:p>
        </w:tc>
      </w:tr>
      <w:tr w14:paraId="526AA9BF"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5888DF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客观数据与诊断量化力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B7ED89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BF665E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彻底摒弃“气氛好”、“听讲认真”等主观玄学。能提供极其具象的量化抓手（如全靠打勾的“1分钟动笔率扫描法”），并能巧妙设计信息化工具（答题器/平板语音转文字）的轻量化数据采集SOP，让“谁在假装参与”一目了然。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70CA1B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提出了要看学生的参与度，但缺乏“如何一眼看出来”或“如何用工具秒级统计”的具体实操方法，依然依赖写大段评语。</w:t>
            </w:r>
          </w:p>
        </w:tc>
      </w:tr>
      <w:tr w14:paraId="3E43465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B6AE3B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课程定位与重复规避力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99102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AF87A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极具宏观专业视野。能敏锐识别“课堂低效可能源于课程定位重叠”，主动提供跨课程的概念分工矩阵（如不同课程讲同一个知识点时的深浅边界），彻底解决“学生听三遍废话”的资源浪费问题。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C7A81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关注了单节课的讲授技巧，提到了要结合教学大纲，但没有深究不同专业课之间的重复交叉与“炒冷饭”问题。</w:t>
            </w:r>
          </w:p>
        </w:tc>
      </w:tr>
      <w:tr w14:paraId="7B304F5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77744B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跨界赋能与强制卷入设计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FDFBD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54383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拥有强大的“专业桥梁”重构能力。针对公共课，能给出极具职业特色（如数学结合密码学/数控）的惊艳跨界情境；针对假讨论，能设计带有“角色强制绑定+随机抽取”机制的硬核任务，逼迫全员大脑运转。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C6274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建议采用小组合作或任务驱动，但任务设计偏向普教化、平庸化，没有体现中职专业特色，且依然允许“个别优生代劳”。</w:t>
            </w:r>
          </w:p>
        </w:tc>
      </w:tr>
      <w:tr w14:paraId="00C9D2B7">
        <w:trPr>
          <w:tblCellSpacing w:w="15" w:type="dxa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AE6837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随堂微操与管理干预力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F6E325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C68E34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极懂真实课堂的生态微操。能为年轻教师提供诸如“防偏题话术”、“时间结构失衡质询话术”、“答题率低于40%的应急两步走策略”等立等可用的管理/教学干预工具包。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4C6F9B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发现教师讲废话或结构失衡时，只会建议“加强备课”、“提高时间管理能力”等无用的宏观口号。</w:t>
            </w:r>
          </w:p>
        </w:tc>
      </w:tr>
    </w:tbl>
    <w:p w14:paraId="665EBBB8">
      <w:pPr>
        <w:widowControl w:val="0"/>
        <w:numPr>
          <w:numId w:val="0"/>
        </w:numPr>
        <w:jc w:val="both"/>
        <w:rPr>
          <w:rFonts w:hint="eastAsia"/>
        </w:rPr>
      </w:pPr>
    </w:p>
    <w:p w14:paraId="6B7C0E47">
      <w:pPr>
        <w:rPr>
          <w:rFonts w:hint="eastAsia"/>
        </w:rPr>
      </w:pPr>
    </w:p>
    <w:p w14:paraId="48FF33C8">
      <w:pPr>
        <w:rPr>
          <w:rFonts w:hint="eastAsia"/>
        </w:rPr>
      </w:pPr>
      <w:r>
        <w:rPr>
          <w:rFonts w:hint="eastAsia"/>
        </w:rPr>
        <w:t>6、案例对比</w:t>
      </w:r>
    </w:p>
    <w:p w14:paraId="6C471A21">
      <w:pPr>
        <w:rPr>
          <w:rFonts w:hint="eastAsia"/>
        </w:rPr>
      </w:pPr>
    </w:p>
    <w:p w14:paraId="6B183BB7">
      <w:pPr>
        <w:rPr>
          <w:rFonts w:hint="eastAsia"/>
        </w:rPr>
      </w:pPr>
      <w:r>
        <w:rPr>
          <w:rFonts w:hint="eastAsia"/>
        </w:rPr>
        <w:t>正面案例（专家推荐做法）： 某校诊断数学“排列组合”效率极低，学生记不住。教研时引入计算机专业视角，将课堂改到机房。教师设定情境：“黑客破解你们的密码需要多久？”让学生用排列组合计算密码组合数，并用极简Python代码验证。全员在电脑前对抗演练，大脑高速运转，参与度达100%。</w:t>
      </w:r>
    </w:p>
    <w:p w14:paraId="6E1358F4">
      <w:pPr>
        <w:rPr>
          <w:rFonts w:hint="eastAsia"/>
        </w:rPr>
      </w:pPr>
      <w:r>
        <w:rPr>
          <w:rFonts w:hint="eastAsia"/>
        </w:rPr>
        <w:t>反面案例（机械化回应与典型误区）： 某机械专业的三门课（基础概述、设备设计、数控实操）的老师，在不同学期给同一批学生讲“压强”，全都在黑板上抄写定义公式和帕斯卡单位换算。听课发现学生大面积趴睡，督导不查课程标准重复问题，反而批评这三位老师“讲课声音不够大、没有激情”。</w:t>
      </w:r>
    </w:p>
    <w:p w14:paraId="7165A899">
      <w:pPr>
        <w:rPr>
          <w:rFonts w:hint="eastAsia"/>
        </w:rPr>
      </w:pPr>
      <w:r>
        <w:rPr>
          <w:rFonts w:hint="eastAsia"/>
        </w:rPr>
        <w:t>7、规范依据</w:t>
      </w:r>
    </w:p>
    <w:p w14:paraId="4946D129">
      <w:pPr>
        <w:rPr>
          <w:rFonts w:hint="eastAsia"/>
        </w:rPr>
      </w:pPr>
    </w:p>
    <w:p w14:paraId="6C5F65DB">
      <w:pPr>
        <w:rPr>
          <w:rFonts w:hint="eastAsia"/>
        </w:rPr>
      </w:pPr>
      <w:r>
        <w:rPr>
          <w:rFonts w:hint="eastAsia"/>
        </w:rPr>
        <w:t>教育部《关于深化职业教育教学改革全面提高人才培养质量的若干意见》</w:t>
      </w:r>
    </w:p>
    <w:p w14:paraId="3C62FE30">
      <w:pPr>
        <w:rPr>
          <w:rFonts w:hint="eastAsia"/>
        </w:rPr>
      </w:pPr>
      <w:r>
        <w:rPr>
          <w:rFonts w:hint="eastAsia"/>
        </w:rPr>
        <w:t>《中等职业学校公共基础课程标准》及各核心专业教学标准</w:t>
      </w:r>
    </w:p>
    <w:p w14:paraId="6A5CD423">
      <w:pPr>
        <w:rPr>
          <w:rFonts w:hint="eastAsia"/>
        </w:rPr>
      </w:pPr>
      <w:r>
        <w:rPr>
          <w:rFonts w:hint="eastAsia"/>
        </w:rPr>
        <w:t>职业院校教学诊断与改进（诊改）工作相关指导文件</w:t>
      </w:r>
    </w:p>
    <w:p w14:paraId="1EAE4A82">
      <w:pPr>
        <w:rPr>
          <w:rFonts w:hint="eastAsia"/>
        </w:rPr>
      </w:pPr>
      <w:r>
        <w:rPr>
          <w:rFonts w:hint="eastAsia"/>
        </w:rPr>
        <w:t>各校内部《课堂教学常规管理规范》与《听评课制度》</w:t>
      </w:r>
    </w:p>
    <w:p w14:paraId="2A88B16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测评问题</w:t>
      </w:r>
    </w:p>
    <w:p w14:paraId="32DA69C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专家使用此文档生成 Agent 后，可通过以下 10 个角色代入式问题测试其专业水平：</w:t>
      </w:r>
    </w:p>
    <w:p w14:paraId="18483AF9">
      <w:pPr>
        <w:widowControl w:val="0"/>
        <w:numPr>
          <w:numId w:val="0"/>
        </w:numPr>
        <w:jc w:val="both"/>
        <w:rPr>
          <w:rFonts w:hint="eastAsia"/>
        </w:rPr>
      </w:pPr>
    </w:p>
    <w:p w14:paraId="07EB130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情景1：假性参与的“极简扫描”</w:t>
      </w:r>
    </w:p>
    <w:p w14:paraId="252D9E9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研组长问：“我马上要去听一位新老师的课，想抓一下学生的真实抬头率和动笔率。请给我生成一张只有5个核心观察项的《课堂学生大脑运转度极简观察表》。要求：绝对不能让我在听课时写大段文字，必须全靠打勾或填数字就能完成。”</w:t>
      </w:r>
    </w:p>
    <w:p w14:paraId="5689379D">
      <w:pPr>
        <w:widowControl w:val="0"/>
        <w:numPr>
          <w:numId w:val="0"/>
        </w:numPr>
        <w:jc w:val="both"/>
        <w:rPr>
          <w:rFonts w:hint="eastAsia"/>
        </w:rPr>
      </w:pPr>
    </w:p>
    <w:p w14:paraId="4E0844E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情景2：概念重复的“边界划定”</w:t>
      </w:r>
    </w:p>
    <w:p w14:paraId="170B333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专业系主任问：“烹饪专业的学生在《营养学》、《食材原料学》和《中式烹调实操》三门课里，都要学‘蛋白质变性’这个概念，三位老师都在重复讲废话。请为这三门课的老师制定一个极简的‘内容侧重点分工清单’，彻底杜绝炒冷饭。”</w:t>
      </w:r>
    </w:p>
    <w:p w14:paraId="03A3233A">
      <w:pPr>
        <w:widowControl w:val="0"/>
        <w:numPr>
          <w:numId w:val="0"/>
        </w:numPr>
        <w:jc w:val="both"/>
        <w:rPr>
          <w:rFonts w:hint="eastAsia"/>
        </w:rPr>
      </w:pPr>
    </w:p>
    <w:p w14:paraId="3E0DC80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情景3：主观讨论的“数据卸妆”</w:t>
      </w:r>
    </w:p>
    <w:p w14:paraId="665DFAD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信息化培训师问：“老师们抱怨主观讨论题很难瞬间统计出‘到底谁没参与思考’。请你设计一个利用‘学生平板+语音输入转文字’的课堂活动SOP，让全班几十个人的主观观点，能在3分钟内变成大屏幕上不可作假的客观数据看板。”</w:t>
      </w:r>
    </w:p>
    <w:p w14:paraId="140EFBE2">
      <w:pPr>
        <w:widowControl w:val="0"/>
        <w:numPr>
          <w:numId w:val="0"/>
        </w:numPr>
        <w:jc w:val="both"/>
        <w:rPr>
          <w:rFonts w:hint="eastAsia"/>
        </w:rPr>
      </w:pPr>
    </w:p>
    <w:p w14:paraId="5ED61DC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情景4：结构失衡的“质询反拨”</w:t>
      </w:r>
    </w:p>
    <w:p w14:paraId="0C41900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学督导问：“我听课发现，某物理老师花30分钟讲最简单的‘欧姆定律’计算公式，最后10分钟才匆匆念完真正的难点‘复杂电路分析’。下课后，请给我一套标准的‘评课质询话术’，不要直接批评他，而是通过3个连环问题，引导他自己意识到时间结构严重错位。”</w:t>
      </w:r>
    </w:p>
    <w:p w14:paraId="6950396D">
      <w:pPr>
        <w:widowControl w:val="0"/>
        <w:numPr>
          <w:numId w:val="0"/>
        </w:numPr>
        <w:jc w:val="both"/>
        <w:rPr>
          <w:rFonts w:hint="eastAsia"/>
        </w:rPr>
      </w:pPr>
    </w:p>
    <w:p w14:paraId="4D75AD5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情景5：公共课的“跨界破冰”</w:t>
      </w:r>
    </w:p>
    <w:p w14:paraId="3C874A7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数学老师问：“我是一直教普高数学的，明天第一次要去给‘数控车床加工’专业的中职生上‘三角函数’。我完全不懂数控！请救救急，给我提供2个能把三角函数与‘数控车床真实操作’紧密结合的课堂导入情境。”</w:t>
      </w:r>
    </w:p>
    <w:p w14:paraId="49A3DF2D">
      <w:pPr>
        <w:widowControl w:val="0"/>
        <w:numPr>
          <w:numId w:val="0"/>
        </w:numPr>
        <w:jc w:val="both"/>
        <w:rPr>
          <w:rFonts w:hint="eastAsia"/>
        </w:rPr>
      </w:pPr>
    </w:p>
    <w:p w14:paraId="3621C42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情景6：偏题闲聊的“话术拉回”</w:t>
      </w:r>
    </w:p>
    <w:p w14:paraId="6252190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师傅带徒弟问：“我带的一位年轻女老师很受学生喜欢，但上课总被学生提问的八卦话题或网络热梗带偏，一节课能聊废15分钟。请为她提供三句既不伤害师生感情，又能瞬间把话题强硬拉回教学主线的‘控场话术’。”</w:t>
      </w:r>
    </w:p>
    <w:p w14:paraId="467CDF80">
      <w:pPr>
        <w:widowControl w:val="0"/>
        <w:numPr>
          <w:numId w:val="0"/>
        </w:numPr>
        <w:jc w:val="both"/>
        <w:rPr>
          <w:rFonts w:hint="eastAsia"/>
        </w:rPr>
      </w:pPr>
    </w:p>
    <w:p w14:paraId="5D9F060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情景7：小组假讨论的“机制防线”</w:t>
      </w:r>
    </w:p>
    <w:p w14:paraId="5456F1C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教学设计专家问：“传统的四人小组讨论，总是A在写，B在说，C和D在低头玩指甲。请你设计一个带有‘角色强制绑定’和‘随机抽取汇报’机制的硬核小组任务规则，逼迫C和D必须大脑运转，无法搭便车。”</w:t>
      </w:r>
    </w:p>
    <w:p w14:paraId="6FC28163">
      <w:pPr>
        <w:widowControl w:val="0"/>
        <w:numPr>
          <w:numId w:val="0"/>
        </w:numPr>
        <w:jc w:val="both"/>
        <w:rPr>
          <w:rFonts w:hint="eastAsia"/>
        </w:rPr>
      </w:pPr>
    </w:p>
    <w:p w14:paraId="1DF9931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情景8：答题器翻车的“应急微操”</w:t>
      </w:r>
    </w:p>
    <w:p w14:paraId="0B7DF17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骨干教师问：“上课时使用了ABCD答题器，本以为大家都听懂了，结果数据显示某道核心概念题只有40%的人选对，场面一度很尴尬。请问此时老师接下来的标准教学动作应该是什么？请给出可直接执行的‘两步走应急策略’。”</w:t>
      </w:r>
    </w:p>
    <w:p w14:paraId="3B9FF542">
      <w:pPr>
        <w:widowControl w:val="0"/>
        <w:numPr>
          <w:numId w:val="0"/>
        </w:numPr>
        <w:jc w:val="both"/>
        <w:rPr>
          <w:rFonts w:hint="eastAsia"/>
        </w:rPr>
      </w:pPr>
    </w:p>
    <w:p w14:paraId="19DEF24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情景9：避重就轻的“数据倒逼”</w:t>
      </w:r>
    </w:p>
    <w:p w14:paraId="02C8062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学副校长问：“部分老教师觉得‘中职生太笨，难点反正听不懂’，所以干脆不讲大纲要求的核心难点，只带学生反复练简单题，导致课堂低效。作为校长，我应该如何设计或调取一项‘能力进阶测试数据’，来倒逼他们正视并攻克难点教学？”</w:t>
      </w:r>
    </w:p>
    <w:p w14:paraId="1BE3CE99">
      <w:pPr>
        <w:widowControl w:val="0"/>
        <w:numPr>
          <w:numId w:val="0"/>
        </w:numPr>
        <w:jc w:val="both"/>
        <w:rPr>
          <w:rFonts w:hint="eastAsia"/>
        </w:rPr>
      </w:pPr>
    </w:p>
    <w:p w14:paraId="2976A6E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情景10：跨界好课的“资产固化”</w:t>
      </w:r>
    </w:p>
    <w:p w14:paraId="5893337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教务处长问：“上周那节‘数学+密码学’的跨界融合公开课极其成功，全班100%卷入。我希望把它变成学校的标准化资源，让其他老师也能照着上。请列出这节课在存入‘校本优秀资源库’前，老师必须向教务处提交的4份‘核心物料清单’（注意：绝不能仅仅是老套的教案和PPT）。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D7E051"/>
    <w:multiLevelType w:val="singleLevel"/>
    <w:tmpl w:val="C7D7E051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E9FAD041"/>
    <w:multiLevelType w:val="singleLevel"/>
    <w:tmpl w:val="E9FAD041"/>
    <w:lvl w:ilvl="0" w:tentative="0">
      <w:start w:val="8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CDB5CF"/>
    <w:rsid w:val="37DF9186"/>
    <w:rsid w:val="7FCDB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2026-04-27T21:41:00Z</dcterms:created>
  <dc:creator>Sakura酱</dc:creator>
  <cp:lastModifiedBy>Sakura酱</cp:lastModifiedBy>
  <dcterms:modified xsi:type="dcterms:W3CDTF">2026-05-05T14:08:42Z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DC409D01E1DB433D09F7EE69B960F4A4_41</vt:lpwstr>
  </property>
</Properties>
</file>