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1F4E79"/>
          <w:sz w:val="52"/>
          <w:szCs w:val="52"/>
        </w:rPr>
        <w:t xml:space="preserve">FIFA World Cup 2026</w:t>
      </w:r>
    </w:p>
    <w:p>
      <w:pPr>
        <w:spacing w:after="240"/>
        <w:jc w:val="center"/>
      </w:pPr>
      <w:r>
        <w:rPr>
          <w:color w:val="2E75B6"/>
          <w:sz w:val="30"/>
          <w:szCs w:val="30"/>
        </w:rPr>
        <w:t xml:space="preserve">A Statistical Forecast of All 104 Matches</w:t>
      </w:r>
    </w:p>
    <w:p>
      <w:pPr>
        <w:spacing w:after="1000"/>
        <w:jc w:val="center"/>
      </w:pPr>
      <w:r>
        <w:rPr>
          <w:i/>
          <w:iCs/>
          <w:color w:val="555555"/>
          <w:sz w:val="20"/>
          <w:szCs w:val="20"/>
        </w:rPr>
        <w:t xml:space="preserve">Time-decayed Dixon-Coles × Elo ensemble · 200,000 Monte Carlo tournament simulations · Prepared 11 June 2026 (pre-tournament)</w:t>
      </w:r>
    </w:p>
    <w:p>
      <w:pPr>
        <w:pStyle w:val="Heading1"/>
      </w:pPr>
      <w:r>
        <w:t xml:space="preserve">1. Summary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This report documents a probabilistic forecasting model for the 2026 FIFA World Cup, built and frozen before the opening match in Mexico City on 11 June 2026. The model combines two complementary engines — a time-decayed Dixon-Coles bivariate Poisson model of scoring rates and a World Football Elo rating system spanning 49,477 international matches since 1872 — into a single calibrated forecast, then plays the entire 48-team, 104-match tournament 200,000 times under FIFA's exact competition rules, including the official Annex C allocation of third-placed teams to the round of 32.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The simulations make Argentina the narrow favourite at 17.1%, just ahead of Spain at 15.7%, with England and France leading the chasing pack near 6%. The single most likely final is Spain – Argentina (5.1% of simulations). Mexico profits substantially from hosting, winning Group A in 63.6% of simulations, while the United States — ranked lower by recent results — wins Group D only 26.3% of the time. Every probability in this report is reproducible from the accompanying code and fixed random seed.</w:t>
      </w:r>
    </w:p>
    <w:p>
      <w:pPr>
        <w:pStyle w:val="Heading1"/>
      </w:pPr>
      <w:r>
        <w:t xml:space="preserve">2. Data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The training data is the open international results database maintained by Mart Jürisoo (martj42/international_results), containing every senior men's full international from 30 November 1872 through 10 June 2026 — 49,477 completed matches with date, teams, score, competition, venue city and a neutral-ground flag. The same source supplies the 72 scheduled group-stage fixtures. The tournament structure — twelve groups of four, the round-of-32 bracket, and FIFA's complete 495-row Annex C table mapping every possible combination of qualified third-placed teams to bracket slots — was transcribed from the official tournament regulations as published, and validated programmatically (every row is a permutation of the qualified groups and no third-placed team can ever face its own group winner).</w:t>
      </w:r>
    </w:p>
    <w:p>
      <w:pPr>
        <w:pStyle w:val="Heading1"/>
      </w:pPr>
      <w:r>
        <w:t xml:space="preserve">3. Model</w:t>
      </w:r>
    </w:p>
    <w:p>
      <w:pPr>
        <w:pStyle w:val="Heading2"/>
      </w:pPr>
      <w:r>
        <w:t xml:space="preserve">3.1 Dixon-Coles component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The core scoring model is the Dixon-Coles (1997) bivariate Poisson. Each team carries an attack and a defence strength; the expected goals for the home side in a fixture are exp(μ + attack_home − defence_away + γ·home), and symmetrically for the away side. The dependence between the two scorelines at low totals is captured by the Dixon-Coles τ correction with coupling parameter ρ, fitted by profile likelihood (ρ = -0.056). Matches enter the likelihood with exponential time-decay weights exp(−ξ·Δt) — the tuned ξ of 0.7 per year halves a match's influence roughly every 1.0 years — multiplied by an importance weight (1.0 for World Cup and continental finals, 0.85 for qualifiers and Nations League, 0.7 for friendlies). Team strengths are estimated by penalised maximum likelihood; the quadratic penalty is equivalent to a Gaussian prior and shrinks thinly-observed teams toward average, a maximum-a-posteriori treatment of the same hierarchical idea used in fully Bayesian club-football models. The fitted home advantage is 0.259 log-goals, about a 30% uplift in scoring rate, applied only where a team genuinely plays at home — for this tournament, the three hosts in their own stadiums.</w:t>
      </w:r>
    </w:p>
    <w:p>
      <w:pPr>
        <w:pStyle w:val="Heading2"/>
      </w:pPr>
      <w:r>
        <w:t xml:space="preserve">3.2 Elo component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Independently, World Football Elo ratings are computed over the full 154-year history: K-factors scale with match importance (60 for World Cup finals matches down to 20 for friendlies), margin of victory inflates the update through the standard goal-difference multiplier, and home teams are credited 100 rating points. Because ratings are stored as they stood before each historical match, a pair of weighted Poisson regressions can be fitted without look-ahead bias, translating any Elo gap into expected home and away goals. This component reacts faster than Dixon-Coles to sustained form changes and carries information from the entire qualifying cycle. The current top five by Elo: Spain (2219), Argentina (2190), France (2125), England (2091), Brazil (2069).</w:t>
      </w:r>
    </w:p>
    <w:p>
      <w:pPr>
        <w:pStyle w:val="Heading2"/>
      </w:pPr>
      <w:r>
        <w:t xml:space="preserve">3.3 Ensemble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The final forecast geometrically blends the two engines' goal rates — λ = λ_DC^w · λ_Elo^(1−w) — and the blend weight, decay rate and friendly weight were chosen purely out-of-sample (Section 4). The selected w = 0.5 weights the two engines equally, and the blend beats both of its components on every backtested tournament, the classic ensemble result.</w:t>
      </w:r>
    </w:p>
    <w:p>
      <w:pPr>
        <w:pStyle w:val="Heading1"/>
      </w:pPr>
      <w:r>
        <w:t xml:space="preserve">4. Validation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The model was validated against the three most recent World Cups under a strict walk-forward protocol: for each tournament, Elo ratings, both regressions and all team strengths were re-estimated using only matches played before its opening day. Hyperparameters were tuned on the 2014 and 2018 group stages jointly; 2022 was held out entirely and scored once, with the tuned configuration. Performance is measured on 90-minute results by three-way log loss and multiclass Brier score (lower is better; a know-nothing uniform forecast scores 1.099 and 0.667).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50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loss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Blend (final model)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0.547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Dixon-Coles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0.555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Elo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0.547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Uniform 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Blend (final model)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0.562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Dixon-Coles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0.565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Elo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0.568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Uniform 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Blend (final model)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0.635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Dixon-Coles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1.079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Elo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Uniform 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0.667</w:t>
            </w:r>
          </w:p>
        </w:tc>
      </w:tr>
    </w:tbl>
    <w:p>
      <w:pPr>
        <w:spacing w:after="160" w:line="276"/>
        <w:jc w:val="both"/>
      </w:pPr>
      <w:r>
        <w:rPr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The blend improves on the uniform baseline by 16% of log loss in 2014, 13% in 2018 and 2% in the famously chaotic 2022 edition — a tournament in which Saudi Arabia beat Argentina and the eventual champion lost its opener, and where published market-based models also landed near or above 1.0. In all three years the ensemble is at least as good as its best component. Calibration over the 288 pooled group-stage probabilities tracks the diagonal well: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Calibration plot" descr="Calibration plot" title="Calibration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 — Reliability of predicted probabilities, WC 2014/2018/2022 group stages (out-of-sample).</w:t>
      </w:r>
    </w:p>
    <w:p>
      <w:pPr>
        <w:pStyle w:val="Heading1"/>
      </w:pPr>
      <w:r>
        <w:t xml:space="preserve">5. Tournament simulation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Each of the 200,000 simulations plays the tournament under FIFA's full rule book. Group scorelines are drawn from each fixture's exact joint score distribution (the τ-corrected Poisson grid), so margins — not just results — propagate into the standings. Groups are ranked by points, goal difference and goals scored; two-way ties still level on all three are resolved by the head-to-head result, with the remaining tie-break criteria (conduct points, FIFA ranking) proxied by randomisation. The twelve third-placed teams are ranked by the same criteria, the best eight advance, and their bracket slots are assigned from the official 495-combination Annex C table — an exactness that matters, because it determines which group winners draw the strongest leftover opponents. Knockout matches level after 90 minutes proceed to extra time, simulated as a 30-minute Poisson process at one-third intensity, then to a 50/50 penalty shoot-out. Host-nation home advantage persists into the knockouts only where the schedule actually provides it: Mexico would enjoy Estadio Azteca in match 79 and a potential round-of-16 tie there; Canada's group winner plays its round of 32 and potential round of 16 in Vancouver; the United States plays essentially its entire possible path on home soil.</w:t>
      </w:r>
    </w:p>
    <w:p>
      <w:pPr>
        <w:pStyle w:val="Heading1"/>
      </w:pPr>
      <w:r>
        <w:t xml:space="preserve">6. Results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Champion probabilities" descr="Champion probabilities" title="Champion probabil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 — Probability of lifting the trophy (top 15 of 48).</w:t>
      </w:r>
    </w:p>
    <w:tbl>
      <w:tblPr>
        <w:tblW w:type="dxa" w:w="5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P(champion)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Argentina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17.1%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15.7%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6.4%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Brazil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5.6%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Colombia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4.8%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Morocco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Japan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Portugal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Ecuador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3.2%</w:t>
            </w:r>
          </w:p>
        </w:tc>
      </w:tr>
    </w:tbl>
    <w:p>
      <w:pPr>
        <w:spacing w:after="160" w:line="276"/>
        <w:jc w:val="both"/>
      </w:pPr>
      <w:r>
        <w:rPr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Argentina and Spain stand clearly apart, together accounting for roughly a third of all simulated titles — consistent with their 1–2 positions in the Elo list and their light group draws (J and H respectively). The most likely finals are Spain – Argentina (5.1%), Spain – England (2.0%), France – Argentina (1.9%), Brazil – Spain (1.5%), Spain – Colombia (1.4%). England's strength is partly structural: Group L is winnable and its bracket half avoids Spain and Argentina until the final. Among the hosts, Mexico converts a soft Group A and Azteca home advantage into a 63.1% chance of the round of 16 and a 2.8% title shot; Canada reaches the round of 16 in 55.7% of simulations; the United States, despite playing at home, carries its weak 2024-25 form into a genuinely contested Group D with Paraguay, Turkey and Australia and advances past the round of 32 only 37.8% of the time. In tonight's opener the model gives Mexico 45.9% to beat South Africa, with a draw at 27.2%.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514725"/>
            <wp:effectExtent t="0" r="0" b="0" l="0"/>
            <wp:docPr id="1" name="Advancement probabilities by group" descr="Advancement probabilities by group" title="Advancement probabilities by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 — Probability of surviving the group phase (dotted line = the 2/3 average advancement rate of this format).</w:t>
      </w:r>
    </w:p>
    <w:p>
      <w:pPr>
        <w:pStyle w:val="Heading1"/>
      </w:pPr>
      <w:r>
        <w:t xml:space="preserve">7. Limitations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The model knows teams, not players: injuries, suspensions, squad rotation and managerial changes enter only insofar as they already show in results. It uses no betting-market information, which the academic literature finds hard to beat — this is a deliberate choice in favour of full reproducibility. Hyperparameters were tuned on only two tournaments (96 matches), so their selection carries sampling noise even though the protocol is leak-free. Penalty shoot-outs are treated as coin flips, three-way tie-breaks and conduct criteria are randomised, and the new 48-team format itself is a mild extrapolation: nothing exactly like a round of 32 with best-thirds has been played at a World Cup since 1994's smaller cousin. Probabilities are estimates with Monte Carlo error below ±0.2 percentage points at this simulation count, but model error necessarily exceeds simulation error.</w:t>
      </w:r>
    </w:p>
    <w:p>
      <w:pPr>
        <w:pStyle w:val="Heading1"/>
      </w:pPr>
      <w:r>
        <w:t xml:space="preserve">8. Reproducibility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Everything in this report regenerates from the project folder: data/ holds the match database, fixtures, bracket and Annex C table; src/model.py implements the Elo engine, the Dixon-Coles fit and the blend; src/backtest.py reruns the validation grid and writes output/backtest.json; src/simulate.py refits the final model on all data through 10 June 2026 and replays the tournament (seed 20260611); src/make_xlsx.py and src/figures.py rebuild the spreadsheet and charts. Run order: backtest.py → simulate.py → figures.py → make_xlsx.py. The companion workbook WC2026_predictions.xlsx contains all 72 match forecasts, every team's advancement curve, group-by-group tables and the validation metrics.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World Cup 2026 Statistical Forecast —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8d9cef1c4fa2598191cd907f74f8e51da404b7e.png"/><Relationship Id="rId9" Type="http://schemas.openxmlformats.org/officeDocument/2006/relationships/image" Target="media/e1a03e23fe4416267e7ac28353012cf2b5d0f9c2.png"/><Relationship Id="rId10" Type="http://schemas.openxmlformats.org/officeDocument/2006/relationships/image" Target="media/2541ef6b603a04038cab071b906fe3a7fc8f4ac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2026-06-11T11:42:51.813Z</dcterms:created>
  <dcterms:modified xsi:type="dcterms:W3CDTF">2026-06-11T11:42:51.813Z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