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E2A47"/>
          <w:sz w:val="48"/>
        </w:rPr>
        <w:t>FIFA World Cup 2026</w:t>
      </w:r>
    </w:p>
    <w:p>
      <w:pPr>
        <w:spacing w:after="40"/>
        <w:jc w:val="center"/>
      </w:pPr>
      <w:r>
        <w:rPr>
          <w:b w:val="0"/>
          <w:color w:val="1A6FB4"/>
          <w:sz w:val="28"/>
        </w:rPr>
        <w:t>A Statistical Forecast of All 104 Matches</w:t>
      </w:r>
    </w:p>
    <w:p>
      <w:pPr>
        <w:spacing w:after="240"/>
        <w:jc w:val="center"/>
      </w:pPr>
      <w:r>
        <w:rPr>
          <w:i/>
          <w:sz w:val="18"/>
        </w:rPr>
        <w:t>Time-decayed Dixon-Coles × World Football Elo ensemble · 200,000 Monte Carlo tournament simulations · Pre-tournament forecast (data through 10 June 2026; model refined 14 June 2026)</w:t>
      </w:r>
    </w:p>
    <w:p>
      <w:pPr>
        <w:spacing w:after="80"/>
      </w:pPr>
      <w:r>
        <w:rPr>
          <w:b/>
          <w:color w:val="0E2A47"/>
          <w:sz w:val="28"/>
        </w:rPr>
        <w:t>1. Summary</w:t>
      </w:r>
    </w:p>
    <w:p>
      <w:pPr>
        <w:spacing w:after="160" w:line="276" w:lineRule="auto"/>
      </w:pPr>
      <w:r>
        <w:t>This report documents a probabilistic forecasting model for the 2026 FIFA World Cup, built from data available before the opening match in Mexico City on 11 June 2026. The model combines two complementary engines — a time-decayed Dixon-Coles bivariate Poisson model of scoring rates and a World Football Elo rating system spanning 49,477 international matches since 1872 — into a single calibrated forecast, then plays the entire 48-team, 104-match tournament 200,000 times under FIFA's exact competition rules, including the official Annex C allocation of third-placed teams to the round of 32.</w:t>
      </w:r>
    </w:p>
    <w:p>
      <w:pPr>
        <w:spacing w:after="160" w:line="276" w:lineRule="auto"/>
      </w:pPr>
      <w:r>
        <w:t>The simulations make Spain the narrow favourite at 17.7%, a whisker ahead of Argentina at 17.5%, with France (7.6%) and England (6.6%) leading the chasing pack. The single most likely final is Spain vs Argentina (6.1% of simulations). Mexico profits substantially from hosting, winning Group A in 64.4% of simulations, while the United States — ranked lower by recent results — wins Group D only 34.2% of the time. Every probability in this report is reproducible from the accompanying code and a fixed random seed (20260611).</w:t>
      </w:r>
    </w:p>
    <w:p>
      <w:pPr>
        <w:spacing w:after="80"/>
      </w:pPr>
      <w:r>
        <w:rPr>
          <w:b/>
          <w:color w:val="0E2A47"/>
          <w:sz w:val="28"/>
        </w:rPr>
        <w:t>2. Data</w:t>
      </w:r>
    </w:p>
    <w:p>
      <w:pPr>
        <w:spacing w:after="160" w:line="276" w:lineRule="auto"/>
      </w:pPr>
      <w:r>
        <w:t>The training data is the open international results database maintained by Mart Jürisoo (martj42/international_results): every senior men's full international from 30 November 1872 through 10 June 2026 — 49,477 completed matches with date, teams, score, competition, venue city and a neutral-ground flag. The same source supplies the 72 scheduled group-stage fixtures. The tournament structure — twelve groups of four, the round-of-32 bracket, and FIFA's complete 495-row Annex C table — was transcribed from the official regulations and validated programmatically (every row is a permutation of the qualified groups, and no third-placed team can face its own group winner).</w:t>
      </w:r>
    </w:p>
    <w:p>
      <w:pPr>
        <w:spacing w:after="80"/>
      </w:pPr>
      <w:r>
        <w:rPr>
          <w:b/>
          <w:color w:val="0E2A47"/>
          <w:sz w:val="28"/>
        </w:rPr>
        <w:t>3. Model</w:t>
      </w:r>
    </w:p>
    <w:p>
      <w:pPr>
        <w:spacing w:after="60"/>
      </w:pPr>
      <w:r>
        <w:rPr>
          <w:b/>
          <w:sz w:val="23"/>
        </w:rPr>
        <w:t>3.1 Dixon-Coles component</w:t>
      </w:r>
    </w:p>
    <w:p>
      <w:pPr>
        <w:spacing w:after="160" w:line="276" w:lineRule="auto"/>
      </w:pPr>
      <w:r>
        <w:t>The core scoring model is the Dixon-Coles (1997) bivariate Poisson. Each team carries an attack and a defence strength; expected goals for the home side are exp(μ + attack_home − defence_away + γ·home), and symmetrically for the away side. Dependence between the two scorelines at low totals is captured by the Dixon-Coles τ correction with coupling ρ = -0.048, fitted by profile likelihood. Matches enter the likelihood with exponential time-decay weights exp(−ξ·Δt): the tuned ξ of 0.4 per year halves a match's influence roughly every 1.7 years (Section 4), multiplied by an importance weight (1.0 for World Cup and continental finals, 0.85 for qualifiers and Nations League, 0.7 for friendlies). Team strengths are estimated by penalised maximum likelihood — a quadratic penalty equivalent to a Gaussian prior that shrinks thinly-observed teams toward average. The fitted home advantage is 0.255 log-goals, about a 30% uplift in scoring rate, applied only where a team genuinely plays at home — for this tournament, the three hosts in their own stadiums.</w:t>
      </w:r>
    </w:p>
    <w:p>
      <w:pPr>
        <w:spacing w:after="60"/>
      </w:pPr>
      <w:r>
        <w:rPr>
          <w:b/>
          <w:sz w:val="23"/>
        </w:rPr>
        <w:t>3.2 Elo component</w:t>
      </w:r>
    </w:p>
    <w:p>
      <w:pPr>
        <w:spacing w:after="160" w:line="276" w:lineRule="auto"/>
      </w:pPr>
      <w:r>
        <w:t>Independently, World Football Elo ratings are computed over the full 154-year history: K-factors scale with match importance (60 for World Cup finals down to 20 for friendlies), margin of victory inflates the update through the goal-difference multiplier, and home teams are credited 100 rating points. Because ratings are stored as they stood before each historical match, two weighted Poisson regressions are fitted without look-ahead bias, translating any Elo gap into expected goals. The current top five by Elo: Spain (2219), Argentina (2190), France (2125), England (2091), Colombia (2064).</w:t>
      </w:r>
    </w:p>
    <w:p>
      <w:pPr>
        <w:spacing w:after="60"/>
      </w:pPr>
      <w:r>
        <w:rPr>
          <w:b/>
          <w:sz w:val="23"/>
        </w:rPr>
        <w:t>3.3 Ensemble</w:t>
      </w:r>
    </w:p>
    <w:p>
      <w:pPr>
        <w:spacing w:after="160" w:line="276" w:lineRule="auto"/>
      </w:pPr>
      <w:r>
        <w:t>The final forecast geometrically blends the two engines' goal rates — λ = λ_DC^w · λ_Elo^(1−w) — with the blend weight, decay rate and friendly weight all chosen out-of-sample (Section 4). The selected w = 0.4 leans slightly toward the faster-reacting Elo engine, and the blend beats both of its components on the held-out data — the classic ensemble result.</w:t>
      </w:r>
    </w:p>
    <w:p>
      <w:pPr>
        <w:spacing w:after="80"/>
      </w:pPr>
      <w:r>
        <w:rPr>
          <w:b/>
          <w:color w:val="0E2A47"/>
          <w:sz w:val="28"/>
        </w:rPr>
        <w:t>4. Validation</w:t>
      </w:r>
    </w:p>
    <w:p>
      <w:pPr>
        <w:spacing w:after="160" w:line="276" w:lineRule="auto"/>
      </w:pPr>
      <w:r>
        <w:t>The model is validated by a leakage-free rolling-origin backtest: components are re-estimated every month using only matches played before each refit date, and every competitive international since 2012 is then predicted out-of-sample — roughly 9,500 matches, of which about 1,200 are major-tournament finals (World Cup, Euro, Copa América, the continental championships) that resemble the balanced, top-team matchups of a World Cup. Forecasts are scored by the Rank Probability Score (RPS — the standard ordered-outcome football metric) alongside three-way log loss and Brier score. Hyperparameters were tuned on the pre-2019 major-finals sample by RPS, subject to not regressing the World Cup group-stage holdouts; everything from 2019 onward is a clean out-of-sample test.</w:t>
      </w:r>
    </w:p>
    <w:p>
      <w:pPr>
        <w:spacing w:after="160" w:line="276" w:lineRule="auto"/>
      </w:pPr>
      <w:r>
        <w:t>On that out-of-sample period the selected configuration improves on the previous settings: major-finals RPS falls from 0.1787 to 0.1762 and log loss from 0.9258 to 0.9181, with no regression on the most recent World Cup. Scored against the three most recent World Cup group stages under a strict walk-forward protocol, the blend lands as follows (lower is better; a know-nothing uniform forecast scores 1.099 log loss and 0.667 Brier):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20"/>
            </w:pPr>
            <w:r>
              <w:rPr>
                <w:b/>
                <w:sz w:val="18"/>
              </w:rPr>
              <w:t>WC</w:t>
            </w:r>
          </w:p>
        </w:tc>
        <w:tc>
          <w:tcPr>
            <w:tcW w:type="dxa" w:w="1728"/>
          </w:tcPr>
          <w:p>
            <w:pPr>
              <w:spacing w:after="20"/>
            </w:pPr>
            <w:r>
              <w:rPr>
                <w:b/>
                <w:sz w:val="18"/>
              </w:rPr>
              <w:t>Model</w:t>
            </w:r>
          </w:p>
        </w:tc>
        <w:tc>
          <w:tcPr>
            <w:tcW w:type="dxa" w:w="1728"/>
          </w:tcPr>
          <w:p>
            <w:pPr>
              <w:spacing w:after="20"/>
            </w:pPr>
            <w:r>
              <w:rPr>
                <w:b/>
                <w:sz w:val="18"/>
              </w:rPr>
              <w:t>Log loss</w:t>
            </w:r>
          </w:p>
        </w:tc>
        <w:tc>
          <w:tcPr>
            <w:tcW w:type="dxa" w:w="1728"/>
          </w:tcPr>
          <w:p>
            <w:pPr>
              <w:spacing w:after="20"/>
            </w:pPr>
            <w:r>
              <w:rPr>
                <w:b/>
                <w:sz w:val="18"/>
              </w:rPr>
              <w:t>Brier</w:t>
            </w:r>
          </w:p>
        </w:tc>
        <w:tc>
          <w:tcPr>
            <w:tcW w:type="dxa" w:w="1728"/>
          </w:tcPr>
          <w:p>
            <w:pPr>
              <w:spacing w:after="20"/>
            </w:pPr>
            <w:r>
              <w:rPr>
                <w:b/>
                <w:sz w:val="18"/>
              </w:rPr>
              <w:t>RPS</w:t>
            </w:r>
          </w:p>
        </w:tc>
      </w:tr>
      <w:tr>
        <w:tc>
          <w:tcPr>
            <w:tcW w:type="dxa" w:w="1728"/>
          </w:tcPr>
          <w:p>
            <w:pPr>
              <w:spacing w:after="20"/>
            </w:pPr>
            <w:r>
              <w:rPr>
                <w:sz w:val="18"/>
              </w:rPr>
              <w:t>2014</w:t>
            </w:r>
          </w:p>
        </w:tc>
        <w:tc>
          <w:tcPr>
            <w:tcW w:type="dxa" w:w="1728"/>
          </w:tcPr>
          <w:p>
            <w:pPr>
              <w:spacing w:after="20"/>
            </w:pPr>
            <w:r>
              <w:rPr>
                <w:sz w:val="18"/>
              </w:rPr>
              <w:t>Blend (final model)</w:t>
            </w:r>
          </w:p>
        </w:tc>
        <w:tc>
          <w:tcPr>
            <w:tcW w:type="dxa" w:w="1728"/>
          </w:tcPr>
          <w:p>
            <w:pPr>
              <w:spacing w:after="20"/>
            </w:pPr>
            <w:r>
              <w:rPr>
                <w:sz w:val="18"/>
              </w:rPr>
              <w:t>0.925</w:t>
            </w:r>
          </w:p>
        </w:tc>
        <w:tc>
          <w:tcPr>
            <w:tcW w:type="dxa" w:w="1728"/>
          </w:tcPr>
          <w:p>
            <w:pPr>
              <w:spacing w:after="20"/>
            </w:pPr>
            <w:r>
              <w:rPr>
                <w:sz w:val="18"/>
              </w:rPr>
              <w:t>0.547</w:t>
            </w:r>
          </w:p>
        </w:tc>
        <w:tc>
          <w:tcPr>
            <w:tcW w:type="dxa" w:w="1728"/>
          </w:tcPr>
          <w:p>
            <w:pPr>
              <w:spacing w:after="20"/>
            </w:pPr>
            <w:r>
              <w:rPr>
                <w:sz w:val="18"/>
              </w:rPr>
              <w:t>0.194</w:t>
            </w:r>
          </w:p>
        </w:tc>
      </w:tr>
      <w:tr>
        <w:tc>
          <w:tcPr>
            <w:tcW w:type="dxa" w:w="1728"/>
          </w:tcPr>
          <w:p>
            <w:pPr>
              <w:spacing w:after="20"/>
            </w:pPr>
            <w:r>
              <w:rPr>
                <w:sz w:val="18"/>
              </w:rPr>
            </w:r>
          </w:p>
        </w:tc>
        <w:tc>
          <w:tcPr>
            <w:tcW w:type="dxa" w:w="1728"/>
          </w:tcPr>
          <w:p>
            <w:pPr>
              <w:spacing w:after="20"/>
            </w:pPr>
            <w:r>
              <w:rPr>
                <w:sz w:val="18"/>
              </w:rPr>
              <w:t>Dixon-Coles only</w:t>
            </w:r>
          </w:p>
        </w:tc>
        <w:tc>
          <w:tcPr>
            <w:tcW w:type="dxa" w:w="1728"/>
          </w:tcPr>
          <w:p>
            <w:pPr>
              <w:spacing w:after="20"/>
            </w:pPr>
            <w:r>
              <w:rPr>
                <w:sz w:val="18"/>
              </w:rPr>
              <w:t>0.948</w:t>
            </w:r>
          </w:p>
        </w:tc>
        <w:tc>
          <w:tcPr>
            <w:tcW w:type="dxa" w:w="1728"/>
          </w:tcPr>
          <w:p>
            <w:pPr>
              <w:spacing w:after="20"/>
            </w:pPr>
            <w:r>
              <w:rPr>
                <w:sz w:val="18"/>
              </w:rPr>
              <w:t>0.562</w:t>
            </w:r>
          </w:p>
        </w:tc>
        <w:tc>
          <w:tcPr>
            <w:tcW w:type="dxa" w:w="1728"/>
          </w:tcPr>
          <w:p>
            <w:pPr>
              <w:spacing w:after="20"/>
            </w:pPr>
            <w:r>
              <w:rPr>
                <w:sz w:val="18"/>
              </w:rPr>
              <w:t>0.202</w:t>
            </w:r>
          </w:p>
        </w:tc>
      </w:tr>
      <w:tr>
        <w:tc>
          <w:tcPr>
            <w:tcW w:type="dxa" w:w="1728"/>
          </w:tcPr>
          <w:p>
            <w:pPr>
              <w:spacing w:after="20"/>
            </w:pPr>
            <w:r>
              <w:rPr>
                <w:sz w:val="18"/>
              </w:rPr>
            </w:r>
          </w:p>
        </w:tc>
        <w:tc>
          <w:tcPr>
            <w:tcW w:type="dxa" w:w="1728"/>
          </w:tcPr>
          <w:p>
            <w:pPr>
              <w:spacing w:after="20"/>
            </w:pPr>
            <w:r>
              <w:rPr>
                <w:sz w:val="18"/>
              </w:rPr>
              <w:t>Elo only</w:t>
            </w:r>
          </w:p>
        </w:tc>
        <w:tc>
          <w:tcPr>
            <w:tcW w:type="dxa" w:w="1728"/>
          </w:tcPr>
          <w:p>
            <w:pPr>
              <w:spacing w:after="20"/>
            </w:pPr>
            <w:r>
              <w:rPr>
                <w:sz w:val="18"/>
              </w:rPr>
              <w:t>0.917</w:t>
            </w:r>
          </w:p>
        </w:tc>
        <w:tc>
          <w:tcPr>
            <w:tcW w:type="dxa" w:w="1728"/>
          </w:tcPr>
          <w:p>
            <w:pPr>
              <w:spacing w:after="20"/>
            </w:pPr>
            <w:r>
              <w:rPr>
                <w:sz w:val="18"/>
              </w:rPr>
              <w:t>0.541</w:t>
            </w:r>
          </w:p>
        </w:tc>
        <w:tc>
          <w:tcPr>
            <w:tcW w:type="dxa" w:w="1728"/>
          </w:tcPr>
          <w:p>
            <w:pPr>
              <w:spacing w:after="20"/>
            </w:pPr>
            <w:r>
              <w:rPr>
                <w:sz w:val="18"/>
              </w:rPr>
              <w:t>0.191</w:t>
            </w:r>
          </w:p>
        </w:tc>
      </w:tr>
      <w:tr>
        <w:tc>
          <w:tcPr>
            <w:tcW w:type="dxa" w:w="1728"/>
          </w:tcPr>
          <w:p>
            <w:pPr>
              <w:spacing w:after="20"/>
            </w:pPr>
            <w:r>
              <w:rPr>
                <w:sz w:val="18"/>
              </w:rPr>
            </w:r>
          </w:p>
        </w:tc>
        <w:tc>
          <w:tcPr>
            <w:tcW w:type="dxa" w:w="1728"/>
          </w:tcPr>
          <w:p>
            <w:pPr>
              <w:spacing w:after="20"/>
            </w:pPr>
            <w:r>
              <w:rPr>
                <w:sz w:val="18"/>
              </w:rPr>
              <w:t>Uniform baseline</w:t>
            </w:r>
          </w:p>
        </w:tc>
        <w:tc>
          <w:tcPr>
            <w:tcW w:type="dxa" w:w="1728"/>
          </w:tcPr>
          <w:p>
            <w:pPr>
              <w:spacing w:after="20"/>
            </w:pPr>
            <w:r>
              <w:rPr>
                <w:sz w:val="18"/>
              </w:rPr>
              <w:t>1.099</w:t>
            </w:r>
          </w:p>
        </w:tc>
        <w:tc>
          <w:tcPr>
            <w:tcW w:type="dxa" w:w="1728"/>
          </w:tcPr>
          <w:p>
            <w:pPr>
              <w:spacing w:after="20"/>
            </w:pPr>
            <w:r>
              <w:rPr>
                <w:sz w:val="18"/>
              </w:rPr>
              <w:t>0.667</w:t>
            </w:r>
          </w:p>
        </w:tc>
        <w:tc>
          <w:tcPr>
            <w:tcW w:type="dxa" w:w="1728"/>
          </w:tcPr>
          <w:p>
            <w:pPr>
              <w:spacing w:after="20"/>
            </w:pPr>
            <w:r>
              <w:rPr>
                <w:sz w:val="18"/>
              </w:rPr>
              <w:t>0.247</w:t>
            </w:r>
          </w:p>
        </w:tc>
      </w:tr>
      <w:tr>
        <w:tc>
          <w:tcPr>
            <w:tcW w:type="dxa" w:w="1728"/>
          </w:tcPr>
          <w:p>
            <w:pPr>
              <w:spacing w:after="20"/>
            </w:pPr>
            <w:r>
              <w:rPr>
                <w:sz w:val="18"/>
              </w:rPr>
              <w:t>2018</w:t>
            </w:r>
          </w:p>
        </w:tc>
        <w:tc>
          <w:tcPr>
            <w:tcW w:type="dxa" w:w="1728"/>
          </w:tcPr>
          <w:p>
            <w:pPr>
              <w:spacing w:after="20"/>
            </w:pPr>
            <w:r>
              <w:rPr>
                <w:sz w:val="18"/>
              </w:rPr>
              <w:t>Blend (final model)</w:t>
            </w:r>
          </w:p>
        </w:tc>
        <w:tc>
          <w:tcPr>
            <w:tcW w:type="dxa" w:w="1728"/>
          </w:tcPr>
          <w:p>
            <w:pPr>
              <w:spacing w:after="20"/>
            </w:pPr>
            <w:r>
              <w:rPr>
                <w:sz w:val="18"/>
              </w:rPr>
              <w:t>0.961</w:t>
            </w:r>
          </w:p>
        </w:tc>
        <w:tc>
          <w:tcPr>
            <w:tcW w:type="dxa" w:w="1728"/>
          </w:tcPr>
          <w:p>
            <w:pPr>
              <w:spacing w:after="20"/>
            </w:pPr>
            <w:r>
              <w:rPr>
                <w:sz w:val="18"/>
              </w:rPr>
              <w:t>0.570</w:t>
            </w:r>
          </w:p>
        </w:tc>
        <w:tc>
          <w:tcPr>
            <w:tcW w:type="dxa" w:w="1728"/>
          </w:tcPr>
          <w:p>
            <w:pPr>
              <w:spacing w:after="20"/>
            </w:pPr>
            <w:r>
              <w:rPr>
                <w:sz w:val="18"/>
              </w:rPr>
              <w:t>0.205</w:t>
            </w:r>
          </w:p>
        </w:tc>
      </w:tr>
      <w:tr>
        <w:tc>
          <w:tcPr>
            <w:tcW w:type="dxa" w:w="1728"/>
          </w:tcPr>
          <w:p>
            <w:pPr>
              <w:spacing w:after="20"/>
            </w:pPr>
            <w:r>
              <w:rPr>
                <w:sz w:val="18"/>
              </w:rPr>
            </w:r>
          </w:p>
        </w:tc>
        <w:tc>
          <w:tcPr>
            <w:tcW w:type="dxa" w:w="1728"/>
          </w:tcPr>
          <w:p>
            <w:pPr>
              <w:spacing w:after="20"/>
            </w:pPr>
            <w:r>
              <w:rPr>
                <w:sz w:val="18"/>
              </w:rPr>
              <w:t>Dixon-Coles only</w:t>
            </w:r>
          </w:p>
        </w:tc>
        <w:tc>
          <w:tcPr>
            <w:tcW w:type="dxa" w:w="1728"/>
          </w:tcPr>
          <w:p>
            <w:pPr>
              <w:spacing w:after="20"/>
            </w:pPr>
            <w:r>
              <w:rPr>
                <w:sz w:val="18"/>
              </w:rPr>
              <w:t>0.955</w:t>
            </w:r>
          </w:p>
        </w:tc>
        <w:tc>
          <w:tcPr>
            <w:tcW w:type="dxa" w:w="1728"/>
          </w:tcPr>
          <w:p>
            <w:pPr>
              <w:spacing w:after="20"/>
            </w:pPr>
            <w:r>
              <w:rPr>
                <w:sz w:val="18"/>
              </w:rPr>
              <w:t>0.568</w:t>
            </w:r>
          </w:p>
        </w:tc>
        <w:tc>
          <w:tcPr>
            <w:tcW w:type="dxa" w:w="1728"/>
          </w:tcPr>
          <w:p>
            <w:pPr>
              <w:spacing w:after="20"/>
            </w:pPr>
            <w:r>
              <w:rPr>
                <w:sz w:val="18"/>
              </w:rPr>
              <w:t>0.203</w:t>
            </w:r>
          </w:p>
        </w:tc>
      </w:tr>
      <w:tr>
        <w:tc>
          <w:tcPr>
            <w:tcW w:type="dxa" w:w="1728"/>
          </w:tcPr>
          <w:p>
            <w:pPr>
              <w:spacing w:after="20"/>
            </w:pPr>
            <w:r>
              <w:rPr>
                <w:sz w:val="18"/>
              </w:rPr>
            </w:r>
          </w:p>
        </w:tc>
        <w:tc>
          <w:tcPr>
            <w:tcW w:type="dxa" w:w="1728"/>
          </w:tcPr>
          <w:p>
            <w:pPr>
              <w:spacing w:after="20"/>
            </w:pPr>
            <w:r>
              <w:rPr>
                <w:sz w:val="18"/>
              </w:rPr>
              <w:t>Elo only</w:t>
            </w:r>
          </w:p>
        </w:tc>
        <w:tc>
          <w:tcPr>
            <w:tcW w:type="dxa" w:w="1728"/>
          </w:tcPr>
          <w:p>
            <w:pPr>
              <w:spacing w:after="20"/>
            </w:pPr>
            <w:r>
              <w:rPr>
                <w:sz w:val="18"/>
              </w:rPr>
              <w:t>0.974</w:t>
            </w:r>
          </w:p>
        </w:tc>
        <w:tc>
          <w:tcPr>
            <w:tcW w:type="dxa" w:w="1728"/>
          </w:tcPr>
          <w:p>
            <w:pPr>
              <w:spacing w:after="20"/>
            </w:pPr>
            <w:r>
              <w:rPr>
                <w:sz w:val="18"/>
              </w:rPr>
              <w:t>0.577</w:t>
            </w:r>
          </w:p>
        </w:tc>
        <w:tc>
          <w:tcPr>
            <w:tcW w:type="dxa" w:w="1728"/>
          </w:tcPr>
          <w:p>
            <w:pPr>
              <w:spacing w:after="20"/>
            </w:pPr>
            <w:r>
              <w:rPr>
                <w:sz w:val="18"/>
              </w:rPr>
              <w:t>0.209</w:t>
            </w:r>
          </w:p>
        </w:tc>
      </w:tr>
      <w:tr>
        <w:tc>
          <w:tcPr>
            <w:tcW w:type="dxa" w:w="1728"/>
          </w:tcPr>
          <w:p>
            <w:pPr>
              <w:spacing w:after="20"/>
            </w:pPr>
            <w:r>
              <w:rPr>
                <w:sz w:val="18"/>
              </w:rPr>
            </w:r>
          </w:p>
        </w:tc>
        <w:tc>
          <w:tcPr>
            <w:tcW w:type="dxa" w:w="1728"/>
          </w:tcPr>
          <w:p>
            <w:pPr>
              <w:spacing w:after="20"/>
            </w:pPr>
            <w:r>
              <w:rPr>
                <w:sz w:val="18"/>
              </w:rPr>
              <w:t>Uniform baseline</w:t>
            </w:r>
          </w:p>
        </w:tc>
        <w:tc>
          <w:tcPr>
            <w:tcW w:type="dxa" w:w="1728"/>
          </w:tcPr>
          <w:p>
            <w:pPr>
              <w:spacing w:after="20"/>
            </w:pPr>
            <w:r>
              <w:rPr>
                <w:sz w:val="18"/>
              </w:rPr>
              <w:t>1.099</w:t>
            </w:r>
          </w:p>
        </w:tc>
        <w:tc>
          <w:tcPr>
            <w:tcW w:type="dxa" w:w="1728"/>
          </w:tcPr>
          <w:p>
            <w:pPr>
              <w:spacing w:after="20"/>
            </w:pPr>
            <w:r>
              <w:rPr>
                <w:sz w:val="18"/>
              </w:rPr>
              <w:t>0.667</w:t>
            </w:r>
          </w:p>
        </w:tc>
        <w:tc>
          <w:tcPr>
            <w:tcW w:type="dxa" w:w="1728"/>
          </w:tcPr>
          <w:p>
            <w:pPr>
              <w:spacing w:after="20"/>
            </w:pPr>
            <w:r>
              <w:rPr>
                <w:sz w:val="18"/>
              </w:rPr>
              <w:t>0.247</w:t>
            </w:r>
          </w:p>
        </w:tc>
      </w:tr>
      <w:tr>
        <w:tc>
          <w:tcPr>
            <w:tcW w:type="dxa" w:w="1728"/>
          </w:tcPr>
          <w:p>
            <w:pPr>
              <w:spacing w:after="20"/>
            </w:pPr>
            <w:r>
              <w:rPr>
                <w:sz w:val="18"/>
              </w:rPr>
              <w:t>2022</w:t>
            </w:r>
          </w:p>
        </w:tc>
        <w:tc>
          <w:tcPr>
            <w:tcW w:type="dxa" w:w="1728"/>
          </w:tcPr>
          <w:p>
            <w:pPr>
              <w:spacing w:after="20"/>
            </w:pPr>
            <w:r>
              <w:rPr>
                <w:sz w:val="18"/>
              </w:rPr>
              <w:t>Blend (final model)</w:t>
            </w:r>
          </w:p>
        </w:tc>
        <w:tc>
          <w:tcPr>
            <w:tcW w:type="dxa" w:w="1728"/>
          </w:tcPr>
          <w:p>
            <w:pPr>
              <w:spacing w:after="20"/>
            </w:pPr>
            <w:r>
              <w:rPr>
                <w:sz w:val="18"/>
              </w:rPr>
              <w:t>1.095</w:t>
            </w:r>
          </w:p>
        </w:tc>
        <w:tc>
          <w:tcPr>
            <w:tcW w:type="dxa" w:w="1728"/>
          </w:tcPr>
          <w:p>
            <w:pPr>
              <w:spacing w:after="20"/>
            </w:pPr>
            <w:r>
              <w:rPr>
                <w:sz w:val="18"/>
              </w:rPr>
              <w:t>0.640</w:t>
            </w:r>
          </w:p>
        </w:tc>
        <w:tc>
          <w:tcPr>
            <w:tcW w:type="dxa" w:w="1728"/>
          </w:tcPr>
          <w:p>
            <w:pPr>
              <w:spacing w:after="20"/>
            </w:pPr>
            <w:r>
              <w:rPr>
                <w:sz w:val="18"/>
              </w:rPr>
              <w:t>0.239</w:t>
            </w:r>
          </w:p>
        </w:tc>
      </w:tr>
      <w:tr>
        <w:tc>
          <w:tcPr>
            <w:tcW w:type="dxa" w:w="1728"/>
          </w:tcPr>
          <w:p>
            <w:pPr>
              <w:spacing w:after="20"/>
            </w:pPr>
            <w:r>
              <w:rPr>
                <w:sz w:val="18"/>
              </w:rPr>
            </w:r>
          </w:p>
        </w:tc>
        <w:tc>
          <w:tcPr>
            <w:tcW w:type="dxa" w:w="1728"/>
          </w:tcPr>
          <w:p>
            <w:pPr>
              <w:spacing w:after="20"/>
            </w:pPr>
            <w:r>
              <w:rPr>
                <w:sz w:val="18"/>
              </w:rPr>
              <w:t>Dixon-Coles only</w:t>
            </w:r>
          </w:p>
        </w:tc>
        <w:tc>
          <w:tcPr>
            <w:tcW w:type="dxa" w:w="1728"/>
          </w:tcPr>
          <w:p>
            <w:pPr>
              <w:spacing w:after="20"/>
            </w:pPr>
            <w:r>
              <w:rPr>
                <w:sz w:val="18"/>
              </w:rPr>
              <w:t>1.075</w:t>
            </w:r>
          </w:p>
        </w:tc>
        <w:tc>
          <w:tcPr>
            <w:tcW w:type="dxa" w:w="1728"/>
          </w:tcPr>
          <w:p>
            <w:pPr>
              <w:spacing w:after="20"/>
            </w:pPr>
            <w:r>
              <w:rPr>
                <w:sz w:val="18"/>
              </w:rPr>
              <w:t>0.633</w:t>
            </w:r>
          </w:p>
        </w:tc>
        <w:tc>
          <w:tcPr>
            <w:tcW w:type="dxa" w:w="1728"/>
          </w:tcPr>
          <w:p>
            <w:pPr>
              <w:spacing w:after="20"/>
            </w:pPr>
            <w:r>
              <w:rPr>
                <w:sz w:val="18"/>
              </w:rPr>
              <w:t>0.233</w:t>
            </w:r>
          </w:p>
        </w:tc>
      </w:tr>
      <w:tr>
        <w:tc>
          <w:tcPr>
            <w:tcW w:type="dxa" w:w="1728"/>
          </w:tcPr>
          <w:p>
            <w:pPr>
              <w:spacing w:after="20"/>
            </w:pPr>
            <w:r>
              <w:rPr>
                <w:sz w:val="18"/>
              </w:rPr>
            </w:r>
          </w:p>
        </w:tc>
        <w:tc>
          <w:tcPr>
            <w:tcW w:type="dxa" w:w="1728"/>
          </w:tcPr>
          <w:p>
            <w:pPr>
              <w:spacing w:after="20"/>
            </w:pPr>
            <w:r>
              <w:rPr>
                <w:sz w:val="18"/>
              </w:rPr>
              <w:t>Elo only</w:t>
            </w:r>
          </w:p>
        </w:tc>
        <w:tc>
          <w:tcPr>
            <w:tcW w:type="dxa" w:w="1728"/>
          </w:tcPr>
          <w:p>
            <w:pPr>
              <w:spacing w:after="20"/>
            </w:pPr>
            <w:r>
              <w:rPr>
                <w:sz w:val="18"/>
              </w:rPr>
              <w:t>1.124</w:t>
            </w:r>
          </w:p>
        </w:tc>
        <w:tc>
          <w:tcPr>
            <w:tcW w:type="dxa" w:w="1728"/>
          </w:tcPr>
          <w:p>
            <w:pPr>
              <w:spacing w:after="20"/>
            </w:pPr>
            <w:r>
              <w:rPr>
                <w:sz w:val="18"/>
              </w:rPr>
              <w:t>0.653</w:t>
            </w:r>
          </w:p>
        </w:tc>
        <w:tc>
          <w:tcPr>
            <w:tcW w:type="dxa" w:w="1728"/>
          </w:tcPr>
          <w:p>
            <w:pPr>
              <w:spacing w:after="20"/>
            </w:pPr>
            <w:r>
              <w:rPr>
                <w:sz w:val="18"/>
              </w:rPr>
              <w:t>0.246</w:t>
            </w:r>
          </w:p>
        </w:tc>
      </w:tr>
      <w:tr>
        <w:tc>
          <w:tcPr>
            <w:tcW w:type="dxa" w:w="1728"/>
          </w:tcPr>
          <w:p>
            <w:pPr>
              <w:spacing w:after="20"/>
            </w:pPr>
            <w:r>
              <w:rPr>
                <w:sz w:val="18"/>
              </w:rPr>
            </w:r>
          </w:p>
        </w:tc>
        <w:tc>
          <w:tcPr>
            <w:tcW w:type="dxa" w:w="1728"/>
          </w:tcPr>
          <w:p>
            <w:pPr>
              <w:spacing w:after="20"/>
            </w:pPr>
            <w:r>
              <w:rPr>
                <w:sz w:val="18"/>
              </w:rPr>
              <w:t>Uniform baseline</w:t>
            </w:r>
          </w:p>
        </w:tc>
        <w:tc>
          <w:tcPr>
            <w:tcW w:type="dxa" w:w="1728"/>
          </w:tcPr>
          <w:p>
            <w:pPr>
              <w:spacing w:after="20"/>
            </w:pPr>
            <w:r>
              <w:rPr>
                <w:sz w:val="18"/>
              </w:rPr>
              <w:t>1.099</w:t>
            </w:r>
          </w:p>
        </w:tc>
        <w:tc>
          <w:tcPr>
            <w:tcW w:type="dxa" w:w="1728"/>
          </w:tcPr>
          <w:p>
            <w:pPr>
              <w:spacing w:after="20"/>
            </w:pPr>
            <w:r>
              <w:rPr>
                <w:sz w:val="18"/>
              </w:rPr>
              <w:t>0.667</w:t>
            </w:r>
          </w:p>
        </w:tc>
        <w:tc>
          <w:tcPr>
            <w:tcW w:type="dxa" w:w="1728"/>
          </w:tcPr>
          <w:p>
            <w:pPr>
              <w:spacing w:after="20"/>
            </w:pPr>
            <w:r>
              <w:rPr>
                <w:sz w:val="18"/>
              </w:rPr>
              <w:t>0.243</w:t>
            </w:r>
          </w:p>
        </w:tc>
      </w:tr>
    </w:tbl>
    <w:p>
      <w:pPr>
        <w:spacing w:after="80"/>
      </w:pPr>
    </w:p>
    <w:p>
      <w:pPr>
        <w:spacing w:after="160" w:line="276" w:lineRule="auto"/>
      </w:pPr>
      <w:r>
        <w:t>Calibration over the pooled group-stage probabilities tracks the diagonal closely:</w:t>
      </w:r>
    </w:p>
    <w:p>
      <w:pPr>
        <w:jc w:val="center"/>
      </w:pPr>
      <w:r>
        <w:drawing>
          <wp:inline xmlns:a="http://schemas.openxmlformats.org/drawingml/2006/main" xmlns:pic="http://schemas.openxmlformats.org/drawingml/2006/picture">
            <wp:extent cx="4206240" cy="4206240"/>
            <wp:docPr id="1" name="Picture 1"/>
            <wp:cNvGraphicFramePr>
              <a:graphicFrameLocks noChangeAspect="1"/>
            </wp:cNvGraphicFramePr>
            <a:graphic>
              <a:graphicData uri="http://schemas.openxmlformats.org/drawingml/2006/picture">
                <pic:pic>
                  <pic:nvPicPr>
                    <pic:cNvPr id="0" name="fig_calibration.png"/>
                    <pic:cNvPicPr/>
                  </pic:nvPicPr>
                  <pic:blipFill>
                    <a:blip r:embed="rId9"/>
                    <a:stretch>
                      <a:fillRect/>
                    </a:stretch>
                  </pic:blipFill>
                  <pic:spPr>
                    <a:xfrm>
                      <a:off x="0" y="0"/>
                      <a:ext cx="4206240" cy="4206240"/>
                    </a:xfrm>
                    <a:prstGeom prst="rect"/>
                  </pic:spPr>
                </pic:pic>
              </a:graphicData>
            </a:graphic>
          </wp:inline>
        </w:drawing>
      </w:r>
    </w:p>
    <w:p>
      <w:pPr>
        <w:spacing w:after="200"/>
        <w:jc w:val="center"/>
      </w:pPr>
      <w:r>
        <w:rPr>
          <w:i/>
          <w:sz w:val="18"/>
        </w:rPr>
        <w:t>Figure 1 — Reliability of predicted probabilities, WC 2014/2018/2022 group stages (out-of-sample).</w:t>
      </w:r>
    </w:p>
    <w:p>
      <w:pPr>
        <w:spacing w:after="80"/>
      </w:pPr>
      <w:r>
        <w:rPr>
          <w:b/>
          <w:color w:val="0E2A47"/>
          <w:sz w:val="28"/>
        </w:rPr>
        <w:t>5. Tournament simulation</w:t>
      </w:r>
    </w:p>
    <w:p>
      <w:pPr>
        <w:spacing w:after="160" w:line="276" w:lineRule="auto"/>
      </w:pPr>
      <w:r>
        <w:t>Each of the 200,000 simulations plays the tournament under FIFA's full rule book. Group scorelines are drawn from each fixture's exact joint score distribution (the τ-corrected Poisson grid), so margins — not just results — propagate into the standings. Groups are ranked by points, goal difference and goals scored; two-way ties level on all three are resolved head-to-head, with remaining criteria proxied by randomisation. The twelve third-placed teams are ranked, the best eight advance, and their bracket slots come from the official 495-combination Annex C table. Knockout matches level after 90 minutes go to extra time — a 30-minute Poisson process at one-third intensity — then a 50/50 shoot-out. Host-nation home advantage persists into the knockouts only where the schedule provides it (Mexico at the Azteca, Canada in Vancouver, the United States across essentially its whole possible path).</w:t>
      </w:r>
    </w:p>
    <w:p>
      <w:pPr>
        <w:spacing w:after="80"/>
      </w:pPr>
      <w:r>
        <w:rPr>
          <w:b/>
          <w:color w:val="0E2A47"/>
          <w:sz w:val="28"/>
        </w:rPr>
        <w:t>6. Results</w:t>
      </w:r>
    </w:p>
    <w:p>
      <w:pPr>
        <w:jc w:val="center"/>
      </w:pPr>
      <w:r>
        <w:drawing>
          <wp:inline xmlns:a="http://schemas.openxmlformats.org/drawingml/2006/main" xmlns:pic="http://schemas.openxmlformats.org/drawingml/2006/picture">
            <wp:extent cx="5120640" cy="3840480"/>
            <wp:docPr id="2" name="Picture 2"/>
            <wp:cNvGraphicFramePr>
              <a:graphicFrameLocks noChangeAspect="1"/>
            </wp:cNvGraphicFramePr>
            <a:graphic>
              <a:graphicData uri="http://schemas.openxmlformats.org/drawingml/2006/picture">
                <pic:pic>
                  <pic:nvPicPr>
                    <pic:cNvPr id="0" name="fig_champion.png"/>
                    <pic:cNvPicPr/>
                  </pic:nvPicPr>
                  <pic:blipFill>
                    <a:blip r:embed="rId10"/>
                    <a:stretch>
                      <a:fillRect/>
                    </a:stretch>
                  </pic:blipFill>
                  <pic:spPr>
                    <a:xfrm>
                      <a:off x="0" y="0"/>
                      <a:ext cx="5120640" cy="3840480"/>
                    </a:xfrm>
                    <a:prstGeom prst="rect"/>
                  </pic:spPr>
                </pic:pic>
              </a:graphicData>
            </a:graphic>
          </wp:inline>
        </w:drawing>
      </w:r>
    </w:p>
    <w:p>
      <w:pPr>
        <w:spacing w:after="200"/>
        <w:jc w:val="center"/>
      </w:pPr>
      <w:r>
        <w:rPr>
          <w:i/>
          <w:sz w:val="18"/>
        </w:rPr>
        <w:t>Figure 2 — Probability of lifting the trophy (top 15 of 48).</w:t>
      </w:r>
    </w:p>
    <w:p>
      <w:pPr>
        <w:spacing w:after="160" w:line="276" w:lineRule="auto"/>
      </w:pPr>
      <w:r>
        <w:t>Spain and Argentina stand clearly apart, together accounting for roughly a third of all simulated titles — consistent with their 1–2 positions in the Elo list. The most likely finals are Spain vs Argentina (6.1%), France vs Argentina (2.4%), Spain vs England (2.3%), Brazil vs Spain (1.9%), Spain vs Colombia (1.8%). Among the hosts, Mexico converts a soft Group A and Azteca home advantage into a 65.1% chance of the round of 16 and a 2.7% title shot; Canada reaches the round of 16 in 54.6% of simulations; the United States, despite playing at home, carries weak 2024–25 form into a contested Group D and reaches the round of 16 47.5% of the time.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Rank</w:t>
            </w:r>
          </w:p>
        </w:tc>
        <w:tc>
          <w:tcPr>
            <w:tcW w:type="dxa" w:w="2880"/>
          </w:tcPr>
          <w:p>
            <w:r>
              <w:rPr>
                <w:b/>
              </w:rPr>
              <w:t>Team</w:t>
            </w:r>
          </w:p>
        </w:tc>
        <w:tc>
          <w:tcPr>
            <w:tcW w:type="dxa" w:w="2880"/>
          </w:tcPr>
          <w:p>
            <w:r>
              <w:rPr>
                <w:b/>
              </w:rPr>
              <w:t>P(champion)</w:t>
            </w:r>
          </w:p>
        </w:tc>
      </w:tr>
      <w:tr>
        <w:tc>
          <w:tcPr>
            <w:tcW w:type="dxa" w:w="2880"/>
          </w:tcPr>
          <w:p>
            <w:pPr>
              <w:spacing w:after="20"/>
            </w:pPr>
            <w:r>
              <w:rPr>
                <w:sz w:val="18"/>
              </w:rPr>
              <w:t>1</w:t>
            </w:r>
          </w:p>
        </w:tc>
        <w:tc>
          <w:tcPr>
            <w:tcW w:type="dxa" w:w="2880"/>
          </w:tcPr>
          <w:p>
            <w:pPr>
              <w:spacing w:after="20"/>
            </w:pPr>
            <w:r>
              <w:rPr>
                <w:sz w:val="18"/>
              </w:rPr>
              <w:t>Spain</w:t>
            </w:r>
          </w:p>
        </w:tc>
        <w:tc>
          <w:tcPr>
            <w:tcW w:type="dxa" w:w="2880"/>
          </w:tcPr>
          <w:p>
            <w:pPr>
              <w:spacing w:after="20"/>
            </w:pPr>
            <w:r>
              <w:rPr>
                <w:sz w:val="18"/>
              </w:rPr>
              <w:t>17.7%</w:t>
            </w:r>
          </w:p>
        </w:tc>
      </w:tr>
      <w:tr>
        <w:tc>
          <w:tcPr>
            <w:tcW w:type="dxa" w:w="2880"/>
          </w:tcPr>
          <w:p>
            <w:pPr>
              <w:spacing w:after="20"/>
            </w:pPr>
            <w:r>
              <w:rPr>
                <w:sz w:val="18"/>
              </w:rPr>
              <w:t>2</w:t>
            </w:r>
          </w:p>
        </w:tc>
        <w:tc>
          <w:tcPr>
            <w:tcW w:type="dxa" w:w="2880"/>
          </w:tcPr>
          <w:p>
            <w:pPr>
              <w:spacing w:after="20"/>
            </w:pPr>
            <w:r>
              <w:rPr>
                <w:sz w:val="18"/>
              </w:rPr>
              <w:t>Argentina</w:t>
            </w:r>
          </w:p>
        </w:tc>
        <w:tc>
          <w:tcPr>
            <w:tcW w:type="dxa" w:w="2880"/>
          </w:tcPr>
          <w:p>
            <w:pPr>
              <w:spacing w:after="20"/>
            </w:pPr>
            <w:r>
              <w:rPr>
                <w:sz w:val="18"/>
              </w:rPr>
              <w:t>17.5%</w:t>
            </w:r>
          </w:p>
        </w:tc>
      </w:tr>
      <w:tr>
        <w:tc>
          <w:tcPr>
            <w:tcW w:type="dxa" w:w="2880"/>
          </w:tcPr>
          <w:p>
            <w:pPr>
              <w:spacing w:after="20"/>
            </w:pPr>
            <w:r>
              <w:rPr>
                <w:sz w:val="18"/>
              </w:rPr>
              <w:t>3</w:t>
            </w:r>
          </w:p>
        </w:tc>
        <w:tc>
          <w:tcPr>
            <w:tcW w:type="dxa" w:w="2880"/>
          </w:tcPr>
          <w:p>
            <w:pPr>
              <w:spacing w:after="20"/>
            </w:pPr>
            <w:r>
              <w:rPr>
                <w:sz w:val="18"/>
              </w:rPr>
              <w:t>France</w:t>
            </w:r>
          </w:p>
        </w:tc>
        <w:tc>
          <w:tcPr>
            <w:tcW w:type="dxa" w:w="2880"/>
          </w:tcPr>
          <w:p>
            <w:pPr>
              <w:spacing w:after="20"/>
            </w:pPr>
            <w:r>
              <w:rPr>
                <w:sz w:val="18"/>
              </w:rPr>
              <w:t>7.6%</w:t>
            </w:r>
          </w:p>
        </w:tc>
      </w:tr>
      <w:tr>
        <w:tc>
          <w:tcPr>
            <w:tcW w:type="dxa" w:w="2880"/>
          </w:tcPr>
          <w:p>
            <w:pPr>
              <w:spacing w:after="20"/>
            </w:pPr>
            <w:r>
              <w:rPr>
                <w:sz w:val="18"/>
              </w:rPr>
              <w:t>4</w:t>
            </w:r>
          </w:p>
        </w:tc>
        <w:tc>
          <w:tcPr>
            <w:tcW w:type="dxa" w:w="2880"/>
          </w:tcPr>
          <w:p>
            <w:pPr>
              <w:spacing w:after="20"/>
            </w:pPr>
            <w:r>
              <w:rPr>
                <w:sz w:val="18"/>
              </w:rPr>
              <w:t>England</w:t>
            </w:r>
          </w:p>
        </w:tc>
        <w:tc>
          <w:tcPr>
            <w:tcW w:type="dxa" w:w="2880"/>
          </w:tcPr>
          <w:p>
            <w:pPr>
              <w:spacing w:after="20"/>
            </w:pPr>
            <w:r>
              <w:rPr>
                <w:sz w:val="18"/>
              </w:rPr>
              <w:t>6.6%</w:t>
            </w:r>
          </w:p>
        </w:tc>
      </w:tr>
      <w:tr>
        <w:tc>
          <w:tcPr>
            <w:tcW w:type="dxa" w:w="2880"/>
          </w:tcPr>
          <w:p>
            <w:pPr>
              <w:spacing w:after="20"/>
            </w:pPr>
            <w:r>
              <w:rPr>
                <w:sz w:val="18"/>
              </w:rPr>
              <w:t>5</w:t>
            </w:r>
          </w:p>
        </w:tc>
        <w:tc>
          <w:tcPr>
            <w:tcW w:type="dxa" w:w="2880"/>
          </w:tcPr>
          <w:p>
            <w:pPr>
              <w:spacing w:after="20"/>
            </w:pPr>
            <w:r>
              <w:rPr>
                <w:sz w:val="18"/>
              </w:rPr>
              <w:t>Brazil</w:t>
            </w:r>
          </w:p>
        </w:tc>
        <w:tc>
          <w:tcPr>
            <w:tcW w:type="dxa" w:w="2880"/>
          </w:tcPr>
          <w:p>
            <w:pPr>
              <w:spacing w:after="20"/>
            </w:pPr>
            <w:r>
              <w:rPr>
                <w:sz w:val="18"/>
              </w:rPr>
              <w:t>6.2%</w:t>
            </w:r>
          </w:p>
        </w:tc>
      </w:tr>
      <w:tr>
        <w:tc>
          <w:tcPr>
            <w:tcW w:type="dxa" w:w="2880"/>
          </w:tcPr>
          <w:p>
            <w:pPr>
              <w:spacing w:after="20"/>
            </w:pPr>
            <w:r>
              <w:rPr>
                <w:sz w:val="18"/>
              </w:rPr>
              <w:t>6</w:t>
            </w:r>
          </w:p>
        </w:tc>
        <w:tc>
          <w:tcPr>
            <w:tcW w:type="dxa" w:w="2880"/>
          </w:tcPr>
          <w:p>
            <w:pPr>
              <w:spacing w:after="20"/>
            </w:pPr>
            <w:r>
              <w:rPr>
                <w:sz w:val="18"/>
              </w:rPr>
              <w:t>Colombia</w:t>
            </w:r>
          </w:p>
        </w:tc>
        <w:tc>
          <w:tcPr>
            <w:tcW w:type="dxa" w:w="2880"/>
          </w:tcPr>
          <w:p>
            <w:pPr>
              <w:spacing w:after="20"/>
            </w:pPr>
            <w:r>
              <w:rPr>
                <w:sz w:val="18"/>
              </w:rPr>
              <w:t>5.2%</w:t>
            </w:r>
          </w:p>
        </w:tc>
      </w:tr>
      <w:tr>
        <w:tc>
          <w:tcPr>
            <w:tcW w:type="dxa" w:w="2880"/>
          </w:tcPr>
          <w:p>
            <w:pPr>
              <w:spacing w:after="20"/>
            </w:pPr>
            <w:r>
              <w:rPr>
                <w:sz w:val="18"/>
              </w:rPr>
              <w:t>7</w:t>
            </w:r>
          </w:p>
        </w:tc>
        <w:tc>
          <w:tcPr>
            <w:tcW w:type="dxa" w:w="2880"/>
          </w:tcPr>
          <w:p>
            <w:pPr>
              <w:spacing w:after="20"/>
            </w:pPr>
            <w:r>
              <w:rPr>
                <w:sz w:val="18"/>
              </w:rPr>
              <w:t>Portugal</w:t>
            </w:r>
          </w:p>
        </w:tc>
        <w:tc>
          <w:tcPr>
            <w:tcW w:type="dxa" w:w="2880"/>
          </w:tcPr>
          <w:p>
            <w:pPr>
              <w:spacing w:after="20"/>
            </w:pPr>
            <w:r>
              <w:rPr>
                <w:sz w:val="18"/>
              </w:rPr>
              <w:t>4.3%</w:t>
            </w:r>
          </w:p>
        </w:tc>
      </w:tr>
      <w:tr>
        <w:tc>
          <w:tcPr>
            <w:tcW w:type="dxa" w:w="2880"/>
          </w:tcPr>
          <w:p>
            <w:pPr>
              <w:spacing w:after="20"/>
            </w:pPr>
            <w:r>
              <w:rPr>
                <w:sz w:val="18"/>
              </w:rPr>
              <w:t>8</w:t>
            </w:r>
          </w:p>
        </w:tc>
        <w:tc>
          <w:tcPr>
            <w:tcW w:type="dxa" w:w="2880"/>
          </w:tcPr>
          <w:p>
            <w:pPr>
              <w:spacing w:after="20"/>
            </w:pPr>
            <w:r>
              <w:rPr>
                <w:sz w:val="18"/>
              </w:rPr>
              <w:t>Morocco</w:t>
            </w:r>
          </w:p>
        </w:tc>
        <w:tc>
          <w:tcPr>
            <w:tcW w:type="dxa" w:w="2880"/>
          </w:tcPr>
          <w:p>
            <w:pPr>
              <w:spacing w:after="20"/>
            </w:pPr>
            <w:r>
              <w:rPr>
                <w:sz w:val="18"/>
              </w:rPr>
              <w:t>3.3%</w:t>
            </w:r>
          </w:p>
        </w:tc>
      </w:tr>
      <w:tr>
        <w:tc>
          <w:tcPr>
            <w:tcW w:type="dxa" w:w="2880"/>
          </w:tcPr>
          <w:p>
            <w:pPr>
              <w:spacing w:after="20"/>
            </w:pPr>
            <w:r>
              <w:rPr>
                <w:sz w:val="18"/>
              </w:rPr>
              <w:t>9</w:t>
            </w:r>
          </w:p>
        </w:tc>
        <w:tc>
          <w:tcPr>
            <w:tcW w:type="dxa" w:w="2880"/>
          </w:tcPr>
          <w:p>
            <w:pPr>
              <w:spacing w:after="20"/>
            </w:pPr>
            <w:r>
              <w:rPr>
                <w:sz w:val="18"/>
              </w:rPr>
              <w:t>Japan</w:t>
            </w:r>
          </w:p>
        </w:tc>
        <w:tc>
          <w:tcPr>
            <w:tcW w:type="dxa" w:w="2880"/>
          </w:tcPr>
          <w:p>
            <w:pPr>
              <w:spacing w:after="20"/>
            </w:pPr>
            <w:r>
              <w:rPr>
                <w:sz w:val="18"/>
              </w:rPr>
              <w:t>3.1%</w:t>
            </w:r>
          </w:p>
        </w:tc>
      </w:tr>
      <w:tr>
        <w:tc>
          <w:tcPr>
            <w:tcW w:type="dxa" w:w="2880"/>
          </w:tcPr>
          <w:p>
            <w:pPr>
              <w:spacing w:after="20"/>
            </w:pPr>
            <w:r>
              <w:rPr>
                <w:sz w:val="18"/>
              </w:rPr>
              <w:t>10</w:t>
            </w:r>
          </w:p>
        </w:tc>
        <w:tc>
          <w:tcPr>
            <w:tcW w:type="dxa" w:w="2880"/>
          </w:tcPr>
          <w:p>
            <w:pPr>
              <w:spacing w:after="20"/>
            </w:pPr>
            <w:r>
              <w:rPr>
                <w:sz w:val="18"/>
              </w:rPr>
              <w:t>Ecuador</w:t>
            </w:r>
          </w:p>
        </w:tc>
        <w:tc>
          <w:tcPr>
            <w:tcW w:type="dxa" w:w="2880"/>
          </w:tcPr>
          <w:p>
            <w:pPr>
              <w:spacing w:after="20"/>
            </w:pPr>
            <w:r>
              <w:rPr>
                <w:sz w:val="18"/>
              </w:rPr>
              <w:t>3.1%</w:t>
            </w:r>
          </w:p>
        </w:tc>
      </w:tr>
    </w:tbl>
    <w:p>
      <w:pPr>
        <w:spacing w:after="80"/>
      </w:pPr>
    </w:p>
    <w:p>
      <w:pPr>
        <w:jc w:val="center"/>
      </w:pPr>
      <w:r>
        <w:drawing>
          <wp:inline xmlns:a="http://schemas.openxmlformats.org/drawingml/2006/main" xmlns:pic="http://schemas.openxmlformats.org/drawingml/2006/picture">
            <wp:extent cx="5669280" cy="3607724"/>
            <wp:docPr id="3" name="Picture 3"/>
            <wp:cNvGraphicFramePr>
              <a:graphicFrameLocks noChangeAspect="1"/>
            </wp:cNvGraphicFramePr>
            <a:graphic>
              <a:graphicData uri="http://schemas.openxmlformats.org/drawingml/2006/picture">
                <pic:pic>
                  <pic:nvPicPr>
                    <pic:cNvPr id="0" name="fig_groups.png"/>
                    <pic:cNvPicPr/>
                  </pic:nvPicPr>
                  <pic:blipFill>
                    <a:blip r:embed="rId11"/>
                    <a:stretch>
                      <a:fillRect/>
                    </a:stretch>
                  </pic:blipFill>
                  <pic:spPr>
                    <a:xfrm>
                      <a:off x="0" y="0"/>
                      <a:ext cx="5669280" cy="3607724"/>
                    </a:xfrm>
                    <a:prstGeom prst="rect"/>
                  </pic:spPr>
                </pic:pic>
              </a:graphicData>
            </a:graphic>
          </wp:inline>
        </w:drawing>
      </w:r>
    </w:p>
    <w:p>
      <w:pPr>
        <w:spacing w:after="200"/>
        <w:jc w:val="center"/>
      </w:pPr>
      <w:r>
        <w:rPr>
          <w:i/>
          <w:sz w:val="18"/>
        </w:rPr>
        <w:t>Figure 3 — Probability of surviving the group phase (dotted line = the ⅔ average advancement rate of this format).</w:t>
      </w:r>
    </w:p>
    <w:p>
      <w:pPr>
        <w:spacing w:after="80"/>
      </w:pPr>
      <w:r>
        <w:rPr>
          <w:b/>
          <w:color w:val="0E2A47"/>
          <w:sz w:val="28"/>
        </w:rPr>
        <w:t>7. Limitations</w:t>
      </w:r>
    </w:p>
    <w:p>
      <w:pPr>
        <w:spacing w:after="160" w:line="276" w:lineRule="auto"/>
      </w:pPr>
      <w:r>
        <w:t>The model knows teams, not players: injuries, suspensions, rotation and managerial changes enter only insofar as they already show in results. The headline forecast uses no betting-market information, which the literature finds hard to beat — a deliberate choice for reproducibility (the live site separately tracks the model against the market). Penalty shoot-outs are treated as coin flips, three-way tie-breaks and conduct criteria are randomised, and the 48-team format is a mild extrapolation. Probabilities carry Monte Carlo error below ±0.2 points at this simulation count, but model error necessarily exceeds simulation error.</w:t>
      </w:r>
    </w:p>
    <w:p>
      <w:pPr>
        <w:spacing w:after="80"/>
      </w:pPr>
      <w:r>
        <w:rPr>
          <w:b/>
          <w:color w:val="0E2A47"/>
          <w:sz w:val="28"/>
        </w:rPr>
        <w:t>8. Reproducibility</w:t>
      </w:r>
    </w:p>
    <w:p>
      <w:pPr>
        <w:spacing w:after="160" w:line="276" w:lineRule="auto"/>
      </w:pPr>
      <w:r>
        <w:t>Everything here regenerates from the project folder: data/ holds the match database, fixtures, bracket and Annex C table; src/model.py implements the Elo engine, the Dixon-Coles fit and the blend; src/backtest.py runs the rolling-origin validation (RPS + log loss + Brier) and writes output/backtest.json, from which the production model reads its hyperparameters; src/simulate.py refits on all data through 10 June 2026 and replays the tournament (seed 20260611); src/figures.py, src/make_xlsx.py and src/make_report.py rebuild the charts, spreadsheet and this document. Run order: backtest.py → simulate.py → figures.py → make_xlsx.py → make_report.py.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